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C7" w:rsidRDefault="00D612CA" w:rsidP="009C24AC">
      <w:pPr>
        <w:jc w:val="both"/>
      </w:pPr>
      <w:r>
        <w:rPr>
          <w:noProof/>
          <w:lang w:eastAsia="fr-CA"/>
        </w:rPr>
        <w:drawing>
          <wp:anchor distT="0" distB="0" distL="114300" distR="114300" simplePos="0" relativeHeight="251656704" behindDoc="1" locked="0" layoutInCell="1" allowOverlap="1" wp14:anchorId="1AA26795" wp14:editId="636C75F9">
            <wp:simplePos x="0" y="0"/>
            <wp:positionH relativeFrom="column">
              <wp:posOffset>97790</wp:posOffset>
            </wp:positionH>
            <wp:positionV relativeFrom="paragraph">
              <wp:posOffset>26670</wp:posOffset>
            </wp:positionV>
            <wp:extent cx="628650" cy="457835"/>
            <wp:effectExtent l="0" t="0" r="0" b="0"/>
            <wp:wrapTight wrapText="bothSides">
              <wp:wrapPolygon edited="0">
                <wp:start x="0" y="0"/>
                <wp:lineTo x="0" y="20671"/>
                <wp:lineTo x="20945" y="20671"/>
                <wp:lineTo x="20945" y="0"/>
                <wp:lineTo x="0" y="0"/>
              </wp:wrapPolygon>
            </wp:wrapTight>
            <wp:docPr id="1" name="Image 1" descr="C:\Users\Angèle\AppData\Local\Microsoft\Windows\INetCache\Content.Outlook\271XXNB9\Nouveau Logo AREQ unique10-0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èle\AppData\Local\Microsoft\Windows\INetCache\Content.Outlook\271XXNB9\Nouveau Logo AREQ unique10-06-0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A7">
        <w:t xml:space="preserve">                               </w:t>
      </w:r>
    </w:p>
    <w:p w:rsidR="008535A7" w:rsidRDefault="008535A7" w:rsidP="009C24AC">
      <w:pPr>
        <w:jc w:val="both"/>
      </w:pPr>
    </w:p>
    <w:p w:rsidR="008535A7" w:rsidRDefault="008535A7" w:rsidP="009C24AC">
      <w:pPr>
        <w:jc w:val="both"/>
      </w:pPr>
    </w:p>
    <w:p w:rsidR="008535A7" w:rsidRDefault="00D612CA" w:rsidP="009C24AC">
      <w:pPr>
        <w:jc w:val="both"/>
      </w:pPr>
      <w:r>
        <w:rPr>
          <w:noProof/>
          <w:lang w:eastAsia="fr-CA"/>
        </w:rPr>
        <mc:AlternateContent>
          <mc:Choice Requires="wps">
            <w:drawing>
              <wp:anchor distT="0" distB="0" distL="114300" distR="114300" simplePos="0" relativeHeight="251657728" behindDoc="1" locked="0" layoutInCell="1" allowOverlap="1">
                <wp:simplePos x="0" y="0"/>
                <wp:positionH relativeFrom="column">
                  <wp:posOffset>-607060</wp:posOffset>
                </wp:positionH>
                <wp:positionV relativeFrom="paragraph">
                  <wp:posOffset>99060</wp:posOffset>
                </wp:positionV>
                <wp:extent cx="3028950" cy="266700"/>
                <wp:effectExtent l="0" t="0" r="0" b="2540"/>
                <wp:wrapTight wrapText="bothSides">
                  <wp:wrapPolygon edited="0">
                    <wp:start x="-86" y="0"/>
                    <wp:lineTo x="-86" y="20829"/>
                    <wp:lineTo x="21600" y="20829"/>
                    <wp:lineTo x="21600" y="0"/>
                    <wp:lineTo x="-86"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C24AC" w:rsidRPr="009C24AC" w:rsidRDefault="00D612CA">
                            <w:pPr>
                              <w:rPr>
                                <w:sz w:val="20"/>
                                <w:szCs w:val="20"/>
                              </w:rPr>
                            </w:pPr>
                            <w:r>
                              <w:rPr>
                                <w:sz w:val="20"/>
                                <w:szCs w:val="20"/>
                              </w:rPr>
                              <w:t xml:space="preserve">AREQ - </w:t>
                            </w:r>
                            <w:r w:rsidR="00F030CD">
                              <w:rPr>
                                <w:sz w:val="20"/>
                                <w:szCs w:val="20"/>
                              </w:rPr>
                              <w:t>Secteur Sherbrooke-E</w:t>
                            </w:r>
                            <w:r w:rsidR="009C24AC" w:rsidRPr="009C24AC">
                              <w:rPr>
                                <w:sz w:val="20"/>
                                <w:szCs w:val="20"/>
                              </w:rPr>
                              <w:t>st et les environs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7.8pt;margin-top:7.8pt;width:238.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" fillcolor="white [3201]" stroked="f" strokeweight=".5pt">
                <v:textbox>
                  <w:txbxContent>
                    <w:p w:rsidR="009C24AC" w:rsidRPr="009C24AC" w:rsidRDefault="00D612CA">
                      <w:pPr>
                        <w:rPr>
                          <w:sz w:val="20"/>
                          <w:szCs w:val="20"/>
                        </w:rPr>
                      </w:pPr>
                      <w:r>
                        <w:rPr>
                          <w:sz w:val="20"/>
                          <w:szCs w:val="20"/>
                        </w:rPr>
                        <w:t xml:space="preserve">AREQ - </w:t>
                      </w:r>
                      <w:r w:rsidR="00F030CD">
                        <w:rPr>
                          <w:sz w:val="20"/>
                          <w:szCs w:val="20"/>
                        </w:rPr>
                        <w:t>Secteur Sherbrooke-E</w:t>
                      </w:r>
                      <w:r w:rsidR="009C24AC" w:rsidRPr="009C24AC">
                        <w:rPr>
                          <w:sz w:val="20"/>
                          <w:szCs w:val="20"/>
                        </w:rPr>
                        <w:t>st et les environs</w:t>
                      </w:r>
                    </w:p>
                  </w:txbxContent>
                </v:textbox>
                <w10:wrap type="tight"/>
              </v:shape>
            </w:pict>
          </mc:Fallback>
        </mc:AlternateContent>
      </w:r>
    </w:p>
    <w:p w:rsidR="00D612CA" w:rsidRDefault="00D612CA" w:rsidP="00E234DE">
      <w:pPr>
        <w:rPr>
          <w:sz w:val="28"/>
        </w:rPr>
      </w:pPr>
    </w:p>
    <w:p w:rsidR="008535A7" w:rsidRPr="00E234DE" w:rsidRDefault="008535A7" w:rsidP="00D612CA">
      <w:pPr>
        <w:jc w:val="center"/>
        <w:rPr>
          <w:sz w:val="28"/>
        </w:rPr>
      </w:pPr>
      <w:r w:rsidRPr="00E234DE">
        <w:rPr>
          <w:sz w:val="28"/>
        </w:rPr>
        <w:t>Assemblée générale sectorielle</w:t>
      </w:r>
    </w:p>
    <w:p w:rsidR="008535A7" w:rsidRDefault="008535A7" w:rsidP="00E234DE">
      <w:pPr>
        <w:jc w:val="center"/>
        <w:rPr>
          <w:sz w:val="28"/>
        </w:rPr>
      </w:pPr>
      <w:r w:rsidRPr="00E234DE">
        <w:rPr>
          <w:sz w:val="28"/>
        </w:rPr>
        <w:t>7 mai 2019</w:t>
      </w:r>
    </w:p>
    <w:p w:rsidR="00F030CD" w:rsidRDefault="00F030CD" w:rsidP="00E234DE">
      <w:pPr>
        <w:jc w:val="center"/>
        <w:rPr>
          <w:sz w:val="28"/>
        </w:rPr>
      </w:pPr>
    </w:p>
    <w:p w:rsidR="00F030CD" w:rsidRPr="00F030CD" w:rsidRDefault="00F030CD" w:rsidP="00F030CD">
      <w:pPr>
        <w:jc w:val="center"/>
        <w:rPr>
          <w:b/>
          <w:sz w:val="24"/>
          <w:szCs w:val="24"/>
        </w:rPr>
      </w:pPr>
      <w:r w:rsidRPr="00F030CD">
        <w:rPr>
          <w:b/>
          <w:sz w:val="24"/>
          <w:szCs w:val="24"/>
        </w:rPr>
        <w:t>Rapport des Déjeuners littéraires</w:t>
      </w:r>
      <w:bookmarkStart w:id="0" w:name="_GoBack"/>
      <w:bookmarkEnd w:id="0"/>
    </w:p>
    <w:p w:rsidR="008535A7" w:rsidRDefault="00E234DE" w:rsidP="00E234DE">
      <w:pPr>
        <w:jc w:val="center"/>
        <w:rPr>
          <w:b/>
          <w:sz w:val="28"/>
        </w:rPr>
      </w:pPr>
      <w:r w:rsidRPr="00D612CA">
        <w:rPr>
          <w:sz w:val="28"/>
        </w:rPr>
        <w:t xml:space="preserve">  </w:t>
      </w:r>
      <w:r w:rsidR="008535A7" w:rsidRPr="00D612CA">
        <w:rPr>
          <w:b/>
          <w:sz w:val="28"/>
        </w:rPr>
        <w:t>Lire … pour être ailleurs</w:t>
      </w:r>
    </w:p>
    <w:p w:rsidR="008535A7" w:rsidRPr="00D612CA" w:rsidRDefault="008535A7" w:rsidP="008535A7">
      <w:pPr>
        <w:ind w:right="1077"/>
        <w:jc w:val="center"/>
        <w:rPr>
          <w:b/>
          <w:sz w:val="32"/>
          <w:szCs w:val="32"/>
        </w:rPr>
      </w:pPr>
      <w:r w:rsidRPr="00D612CA">
        <w:rPr>
          <w:b/>
          <w:sz w:val="32"/>
          <w:szCs w:val="32"/>
        </w:rPr>
        <w:t xml:space="preserve">        </w:t>
      </w:r>
    </w:p>
    <w:p w:rsidR="008535A7" w:rsidRPr="00D612CA" w:rsidRDefault="008535A7" w:rsidP="008535A7">
      <w:pPr>
        <w:ind w:right="170"/>
        <w:jc w:val="both"/>
        <w:rPr>
          <w:szCs w:val="24"/>
        </w:rPr>
      </w:pPr>
      <w:r w:rsidRPr="00D612CA">
        <w:rPr>
          <w:szCs w:val="24"/>
        </w:rPr>
        <w:t>Depuis septembre 2018 jusqu’à juin 2019, les membres du cercle de lecture des secteurs A et D auront beaucoup voyagé entre l’ici et l’ailleurs. En effet, chaque premier mercredi du mois se tient le déjeuner littéraire, une activité qui regroupe des mordues de lecture. La formule plaît : sur un mode convivial, chaque participante présente un livre de manière informelle. Il n’est pas rare de voir passer de main en main des romans, recueils de nouvelles ou de poésie, albums, bandes dessinées, de les voir s’arrêter un instant, puis s’envoler jusqu’au mois suivant vers une nouvelle destination : dans notre cercle de lecture, les livres voyagent. Emprunter des livres</w:t>
      </w:r>
      <w:r w:rsidR="00D612CA">
        <w:rPr>
          <w:szCs w:val="24"/>
        </w:rPr>
        <w:t xml:space="preserve"> lus</w:t>
      </w:r>
      <w:r w:rsidRPr="00D612CA">
        <w:rPr>
          <w:szCs w:val="24"/>
        </w:rPr>
        <w:t xml:space="preserve">, c’est bien connu! </w:t>
      </w:r>
      <w:r w:rsidRPr="00D612CA">
        <w:rPr>
          <w:b/>
          <w:noProof/>
          <w:sz w:val="40"/>
          <w:szCs w:val="40"/>
          <w:lang w:eastAsia="fr-CA"/>
        </w:rPr>
        <w:drawing>
          <wp:anchor distT="0" distB="0" distL="114300" distR="114300" simplePos="0" relativeHeight="251658752" behindDoc="0" locked="0" layoutInCell="1" allowOverlap="1" wp14:anchorId="6FADACD7" wp14:editId="74CCB5BA">
            <wp:simplePos x="0" y="0"/>
            <wp:positionH relativeFrom="column">
              <wp:posOffset>0</wp:posOffset>
            </wp:positionH>
            <wp:positionV relativeFrom="paragraph">
              <wp:posOffset>1633855</wp:posOffset>
            </wp:positionV>
            <wp:extent cx="2424430" cy="1965960"/>
            <wp:effectExtent l="0" t="0" r="0" b="0"/>
            <wp:wrapThrough wrapText="bothSides">
              <wp:wrapPolygon edited="0">
                <wp:start x="0" y="0"/>
                <wp:lineTo x="0" y="21349"/>
                <wp:lineTo x="21385" y="21349"/>
                <wp:lineTo x="21385" y="0"/>
                <wp:lineTo x="0" y="0"/>
              </wp:wrapPolygon>
            </wp:wrapThrough>
            <wp:docPr id="2"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4430" cy="1965960"/>
                    </a:xfrm>
                    <a:prstGeom prst="rect">
                      <a:avLst/>
                    </a:prstGeom>
                    <a:noFill/>
                    <a:ln>
                      <a:noFill/>
                    </a:ln>
                  </pic:spPr>
                </pic:pic>
              </a:graphicData>
            </a:graphic>
          </wp:anchor>
        </w:drawing>
      </w:r>
      <w:r w:rsidRPr="00D612CA">
        <w:rPr>
          <w:szCs w:val="24"/>
        </w:rPr>
        <w:t xml:space="preserve">                        </w:t>
      </w:r>
    </w:p>
    <w:p w:rsidR="00D612CA" w:rsidRDefault="008535A7" w:rsidP="008535A7">
      <w:pPr>
        <w:ind w:right="170"/>
        <w:jc w:val="both"/>
        <w:rPr>
          <w:szCs w:val="24"/>
        </w:rPr>
      </w:pPr>
      <w:r w:rsidRPr="00D612CA">
        <w:rPr>
          <w:szCs w:val="24"/>
        </w:rPr>
        <w:t xml:space="preserve">                                                                 </w:t>
      </w:r>
    </w:p>
    <w:p w:rsidR="00D612CA" w:rsidRPr="00D612CA" w:rsidRDefault="008535A7" w:rsidP="008535A7">
      <w:pPr>
        <w:ind w:right="170"/>
        <w:jc w:val="both"/>
        <w:rPr>
          <w:b/>
          <w:noProof/>
          <w:sz w:val="40"/>
          <w:szCs w:val="40"/>
        </w:rPr>
      </w:pPr>
      <w:r w:rsidRPr="00D612CA">
        <w:rPr>
          <w:szCs w:val="24"/>
        </w:rPr>
        <w:t>Deux particularités retiennent mon attention au moment de faire le bilan annuel de cette activité.</w:t>
      </w:r>
      <w:r w:rsidRPr="00D612CA">
        <w:rPr>
          <w:b/>
          <w:noProof/>
          <w:sz w:val="40"/>
          <w:szCs w:val="40"/>
        </w:rPr>
        <w:t xml:space="preserve"> </w:t>
      </w:r>
    </w:p>
    <w:p w:rsidR="008535A7" w:rsidRPr="00D612CA" w:rsidRDefault="008535A7" w:rsidP="008535A7">
      <w:pPr>
        <w:ind w:left="170" w:right="170"/>
        <w:jc w:val="both"/>
        <w:rPr>
          <w:szCs w:val="24"/>
        </w:rPr>
      </w:pPr>
      <w:r w:rsidRPr="00D612CA">
        <w:rPr>
          <w:szCs w:val="24"/>
        </w:rPr>
        <w:t xml:space="preserve">Tout d’abord, en décembre, nous avons ramené à la surface des livres qui ont laissé une forte empreinte sur notre parcours de lectrices : </w:t>
      </w:r>
      <w:r w:rsidRPr="00D612CA">
        <w:rPr>
          <w:i/>
          <w:szCs w:val="24"/>
        </w:rPr>
        <w:t>La petite poule d’eau</w:t>
      </w:r>
      <w:r w:rsidRPr="00D612CA">
        <w:rPr>
          <w:szCs w:val="24"/>
        </w:rPr>
        <w:t xml:space="preserve"> et </w:t>
      </w:r>
      <w:r w:rsidRPr="00D612CA">
        <w:rPr>
          <w:i/>
          <w:szCs w:val="24"/>
        </w:rPr>
        <w:t>Ces enfants de ma vie</w:t>
      </w:r>
      <w:r w:rsidRPr="00D612CA">
        <w:rPr>
          <w:szCs w:val="24"/>
        </w:rPr>
        <w:t xml:space="preserve"> (Gabrielle Roy), </w:t>
      </w:r>
      <w:r w:rsidRPr="00D612CA">
        <w:rPr>
          <w:i/>
          <w:szCs w:val="24"/>
        </w:rPr>
        <w:t>Allegro</w:t>
      </w:r>
      <w:r w:rsidRPr="00D612CA">
        <w:rPr>
          <w:szCs w:val="24"/>
        </w:rPr>
        <w:t xml:space="preserve"> (Félix Leclerc), </w:t>
      </w:r>
      <w:r w:rsidRPr="00D612CA">
        <w:rPr>
          <w:i/>
          <w:szCs w:val="24"/>
        </w:rPr>
        <w:t>De l’eau sur le papier</w:t>
      </w:r>
      <w:r w:rsidRPr="00D612CA">
        <w:rPr>
          <w:szCs w:val="24"/>
        </w:rPr>
        <w:t xml:space="preserve"> (Francine Allard), </w:t>
      </w:r>
      <w:r w:rsidRPr="00D612CA">
        <w:rPr>
          <w:i/>
          <w:szCs w:val="24"/>
        </w:rPr>
        <w:t xml:space="preserve">Des nouvelles d’Édouard </w:t>
      </w:r>
      <w:r w:rsidRPr="00D612CA">
        <w:rPr>
          <w:szCs w:val="24"/>
        </w:rPr>
        <w:t xml:space="preserve">(Michel Tremblay). Outre ces auteurs du Québec, des auteurs étrangers ont retenu l’attention : Pat </w:t>
      </w:r>
      <w:proofErr w:type="spellStart"/>
      <w:r w:rsidRPr="00D612CA">
        <w:rPr>
          <w:szCs w:val="24"/>
        </w:rPr>
        <w:t>Conroy</w:t>
      </w:r>
      <w:proofErr w:type="spellEnd"/>
      <w:r w:rsidRPr="00D612CA">
        <w:rPr>
          <w:szCs w:val="24"/>
        </w:rPr>
        <w:t xml:space="preserve"> (</w:t>
      </w:r>
      <w:r w:rsidRPr="00D612CA">
        <w:rPr>
          <w:i/>
          <w:szCs w:val="24"/>
        </w:rPr>
        <w:t>Le prince des marées</w:t>
      </w:r>
      <w:r w:rsidRPr="00D612CA">
        <w:rPr>
          <w:szCs w:val="24"/>
        </w:rPr>
        <w:t xml:space="preserve">), Jonathan </w:t>
      </w:r>
      <w:proofErr w:type="spellStart"/>
      <w:r w:rsidRPr="00D612CA">
        <w:rPr>
          <w:szCs w:val="24"/>
        </w:rPr>
        <w:t>Littell</w:t>
      </w:r>
      <w:proofErr w:type="spellEnd"/>
      <w:r w:rsidRPr="00D612CA">
        <w:rPr>
          <w:i/>
          <w:szCs w:val="24"/>
        </w:rPr>
        <w:t xml:space="preserve"> </w:t>
      </w:r>
      <w:r w:rsidRPr="00D612CA">
        <w:rPr>
          <w:szCs w:val="24"/>
        </w:rPr>
        <w:t>(</w:t>
      </w:r>
      <w:r w:rsidRPr="00D612CA">
        <w:rPr>
          <w:i/>
          <w:szCs w:val="24"/>
        </w:rPr>
        <w:t>Les bienveillantes</w:t>
      </w:r>
      <w:r w:rsidRPr="00D612CA">
        <w:rPr>
          <w:szCs w:val="24"/>
        </w:rPr>
        <w:t>), John Steinbeck</w:t>
      </w:r>
      <w:r w:rsidRPr="00D612CA">
        <w:rPr>
          <w:i/>
          <w:szCs w:val="24"/>
        </w:rPr>
        <w:t xml:space="preserve"> </w:t>
      </w:r>
      <w:r w:rsidRPr="00D612CA">
        <w:rPr>
          <w:szCs w:val="24"/>
        </w:rPr>
        <w:t>(</w:t>
      </w:r>
      <w:r w:rsidRPr="00D612CA">
        <w:rPr>
          <w:i/>
          <w:szCs w:val="24"/>
        </w:rPr>
        <w:t>Les raisins de la colère</w:t>
      </w:r>
      <w:r w:rsidRPr="00D612CA">
        <w:rPr>
          <w:szCs w:val="24"/>
        </w:rPr>
        <w:t>), Philippe Claudel (</w:t>
      </w:r>
      <w:r w:rsidRPr="00D612CA">
        <w:rPr>
          <w:i/>
          <w:szCs w:val="24"/>
        </w:rPr>
        <w:t>La petite fille de monsieur Linh</w:t>
      </w:r>
      <w:r w:rsidRPr="00D612CA">
        <w:rPr>
          <w:szCs w:val="24"/>
        </w:rPr>
        <w:t>) et finalement Maurice Druon</w:t>
      </w:r>
      <w:r w:rsidRPr="00D612CA">
        <w:rPr>
          <w:i/>
          <w:szCs w:val="24"/>
        </w:rPr>
        <w:t xml:space="preserve"> </w:t>
      </w:r>
      <w:r w:rsidRPr="00D612CA">
        <w:rPr>
          <w:szCs w:val="24"/>
        </w:rPr>
        <w:t>(</w:t>
      </w:r>
      <w:r w:rsidRPr="00D612CA">
        <w:rPr>
          <w:i/>
          <w:szCs w:val="24"/>
        </w:rPr>
        <w:t>Les rois maudits</w:t>
      </w:r>
      <w:r w:rsidRPr="00D612CA">
        <w:rPr>
          <w:szCs w:val="24"/>
        </w:rPr>
        <w:t xml:space="preserve">). </w:t>
      </w:r>
    </w:p>
    <w:p w:rsidR="008535A7" w:rsidRPr="00D612CA" w:rsidRDefault="008535A7" w:rsidP="008535A7">
      <w:pPr>
        <w:ind w:left="170" w:right="170"/>
        <w:jc w:val="both"/>
        <w:rPr>
          <w:szCs w:val="24"/>
        </w:rPr>
      </w:pPr>
    </w:p>
    <w:p w:rsidR="008535A7" w:rsidRPr="00D612CA" w:rsidRDefault="008535A7" w:rsidP="008535A7">
      <w:pPr>
        <w:ind w:left="170" w:right="170"/>
        <w:jc w:val="both"/>
        <w:rPr>
          <w:szCs w:val="24"/>
        </w:rPr>
      </w:pPr>
      <w:r w:rsidRPr="00D612CA">
        <w:rPr>
          <w:szCs w:val="24"/>
        </w:rPr>
        <w:t>En avril, autre moment fort. Pour souligner la Journée mondiale du livre et du droit d’auteur, au lieu de mettre à l’honneur un auteur consacré, nous sommes allées à la rencontre de voix québécoises émergentes. Moins connues, mais néanmoins prometteuses! Soulignons celles de Claire Vigneau</w:t>
      </w:r>
      <w:r w:rsidRPr="00D612CA">
        <w:rPr>
          <w:i/>
          <w:szCs w:val="24"/>
        </w:rPr>
        <w:t xml:space="preserve"> </w:t>
      </w:r>
      <w:r w:rsidRPr="00D612CA">
        <w:rPr>
          <w:szCs w:val="24"/>
        </w:rPr>
        <w:t>(</w:t>
      </w:r>
      <w:r w:rsidRPr="00D612CA">
        <w:rPr>
          <w:i/>
          <w:szCs w:val="24"/>
        </w:rPr>
        <w:t>Le fou d’la pointe</w:t>
      </w:r>
      <w:r w:rsidRPr="00D612CA">
        <w:rPr>
          <w:szCs w:val="24"/>
        </w:rPr>
        <w:t xml:space="preserve">), Alice </w:t>
      </w:r>
      <w:proofErr w:type="spellStart"/>
      <w:r w:rsidRPr="00D612CA">
        <w:rPr>
          <w:szCs w:val="24"/>
        </w:rPr>
        <w:t>Guéricolas</w:t>
      </w:r>
      <w:proofErr w:type="spellEnd"/>
      <w:r w:rsidRPr="00D612CA">
        <w:rPr>
          <w:szCs w:val="24"/>
        </w:rPr>
        <w:t>-Gagné (</w:t>
      </w:r>
      <w:r w:rsidRPr="00D612CA">
        <w:rPr>
          <w:i/>
          <w:szCs w:val="24"/>
        </w:rPr>
        <w:t>Saint-Jambe</w:t>
      </w:r>
      <w:r w:rsidRPr="00D612CA">
        <w:rPr>
          <w:szCs w:val="24"/>
        </w:rPr>
        <w:t>), Jean-François Caron (</w:t>
      </w:r>
      <w:r w:rsidRPr="00D612CA">
        <w:rPr>
          <w:i/>
          <w:szCs w:val="24"/>
        </w:rPr>
        <w:t>De bois debout</w:t>
      </w:r>
      <w:r w:rsidRPr="00D612CA">
        <w:rPr>
          <w:szCs w:val="24"/>
        </w:rPr>
        <w:t>), Jean-Marc Lemay (</w:t>
      </w:r>
      <w:r w:rsidRPr="00D612CA">
        <w:rPr>
          <w:i/>
          <w:szCs w:val="24"/>
        </w:rPr>
        <w:t>Graffitis de mémoire</w:t>
      </w:r>
      <w:r w:rsidRPr="00D612CA">
        <w:rPr>
          <w:szCs w:val="24"/>
        </w:rPr>
        <w:t xml:space="preserve">), Isabelle </w:t>
      </w:r>
      <w:proofErr w:type="spellStart"/>
      <w:r w:rsidRPr="00D612CA">
        <w:rPr>
          <w:szCs w:val="24"/>
        </w:rPr>
        <w:t>Lafortune</w:t>
      </w:r>
      <w:proofErr w:type="spellEnd"/>
      <w:r w:rsidRPr="00D612CA">
        <w:rPr>
          <w:szCs w:val="24"/>
        </w:rPr>
        <w:t xml:space="preserve"> (</w:t>
      </w:r>
      <w:r w:rsidRPr="00D612CA">
        <w:rPr>
          <w:i/>
          <w:szCs w:val="24"/>
        </w:rPr>
        <w:t>Terminal Grand Nord</w:t>
      </w:r>
      <w:r w:rsidRPr="00D612CA">
        <w:rPr>
          <w:szCs w:val="24"/>
        </w:rPr>
        <w:t>), Esther Laforce (</w:t>
      </w:r>
      <w:r w:rsidRPr="00D612CA">
        <w:rPr>
          <w:i/>
          <w:szCs w:val="24"/>
        </w:rPr>
        <w:t>Aux premiers temps de l’Anthropocène</w:t>
      </w:r>
      <w:r w:rsidRPr="00D612CA">
        <w:rPr>
          <w:szCs w:val="24"/>
        </w:rPr>
        <w:t>) et Stéphanie Lapointe (</w:t>
      </w:r>
      <w:r w:rsidRPr="00D612CA">
        <w:rPr>
          <w:i/>
          <w:szCs w:val="24"/>
        </w:rPr>
        <w:t>Grand-père la lune</w:t>
      </w:r>
      <w:r w:rsidRPr="00D612CA">
        <w:rPr>
          <w:szCs w:val="24"/>
        </w:rPr>
        <w:t xml:space="preserve">). </w:t>
      </w:r>
      <w:r w:rsidRPr="00D612CA">
        <w:rPr>
          <w:i/>
          <w:szCs w:val="24"/>
        </w:rPr>
        <w:t xml:space="preserve"> </w:t>
      </w:r>
    </w:p>
    <w:p w:rsidR="008535A7" w:rsidRPr="00D612CA" w:rsidRDefault="008535A7" w:rsidP="008535A7">
      <w:pPr>
        <w:ind w:left="170" w:right="170"/>
        <w:jc w:val="both"/>
        <w:rPr>
          <w:szCs w:val="24"/>
        </w:rPr>
      </w:pPr>
    </w:p>
    <w:p w:rsidR="008535A7" w:rsidRPr="00D612CA" w:rsidRDefault="008535A7" w:rsidP="008535A7">
      <w:pPr>
        <w:ind w:left="170" w:right="170"/>
        <w:jc w:val="both"/>
        <w:rPr>
          <w:szCs w:val="24"/>
        </w:rPr>
      </w:pPr>
      <w:r w:rsidRPr="00D612CA">
        <w:rPr>
          <w:szCs w:val="24"/>
        </w:rPr>
        <w:t xml:space="preserve">Peut-être tirerez-vous dans cette courte liste le titre du prochain livre à lire ou à offrir en cadeau? C’est, en tout cas, ce que font les adeptes des déjeuners littéraires en notant dans leurs carnets plus d’une centaine de titres par année… Parlez-en à Odette </w:t>
      </w:r>
      <w:proofErr w:type="spellStart"/>
      <w:r w:rsidRPr="00D612CA">
        <w:rPr>
          <w:szCs w:val="24"/>
        </w:rPr>
        <w:t>Quirion</w:t>
      </w:r>
      <w:proofErr w:type="spellEnd"/>
      <w:r w:rsidRPr="00D612CA">
        <w:rPr>
          <w:szCs w:val="24"/>
        </w:rPr>
        <w:t xml:space="preserve">, Pauline Roy, Céline Lessard, Marthe Royer, Claire Blais, France </w:t>
      </w:r>
      <w:proofErr w:type="spellStart"/>
      <w:r w:rsidRPr="00D612CA">
        <w:rPr>
          <w:szCs w:val="24"/>
        </w:rPr>
        <w:t>Cadorette</w:t>
      </w:r>
      <w:proofErr w:type="spellEnd"/>
      <w:r w:rsidRPr="00D612CA">
        <w:rPr>
          <w:szCs w:val="24"/>
        </w:rPr>
        <w:t xml:space="preserve">, Pierrette </w:t>
      </w:r>
      <w:proofErr w:type="spellStart"/>
      <w:r w:rsidRPr="00D612CA">
        <w:rPr>
          <w:szCs w:val="24"/>
        </w:rPr>
        <w:t>Plourde</w:t>
      </w:r>
      <w:proofErr w:type="spellEnd"/>
      <w:r w:rsidRPr="00D612CA">
        <w:rPr>
          <w:szCs w:val="24"/>
        </w:rPr>
        <w:t xml:space="preserve">, Hélène Dame, Carmen Dubé, Louise Gingras, Marie-France </w:t>
      </w:r>
      <w:proofErr w:type="spellStart"/>
      <w:r w:rsidRPr="00D612CA">
        <w:rPr>
          <w:szCs w:val="24"/>
        </w:rPr>
        <w:t>Hétu</w:t>
      </w:r>
      <w:proofErr w:type="spellEnd"/>
      <w:r w:rsidRPr="00D612CA">
        <w:rPr>
          <w:szCs w:val="24"/>
        </w:rPr>
        <w:t xml:space="preserve">, Lisette </w:t>
      </w:r>
      <w:proofErr w:type="spellStart"/>
      <w:r w:rsidRPr="00D612CA">
        <w:rPr>
          <w:szCs w:val="24"/>
        </w:rPr>
        <w:t>Letendre</w:t>
      </w:r>
      <w:proofErr w:type="spellEnd"/>
      <w:r w:rsidRPr="00D612CA">
        <w:rPr>
          <w:szCs w:val="24"/>
        </w:rPr>
        <w:t xml:space="preserve">, Carole </w:t>
      </w:r>
      <w:proofErr w:type="spellStart"/>
      <w:r w:rsidRPr="00D612CA">
        <w:rPr>
          <w:szCs w:val="24"/>
        </w:rPr>
        <w:t>Létourneau</w:t>
      </w:r>
      <w:proofErr w:type="spellEnd"/>
      <w:r w:rsidRPr="00D612CA">
        <w:rPr>
          <w:szCs w:val="24"/>
        </w:rPr>
        <w:t xml:space="preserve">, </w:t>
      </w:r>
      <w:proofErr w:type="spellStart"/>
      <w:r w:rsidRPr="00D612CA">
        <w:rPr>
          <w:szCs w:val="24"/>
        </w:rPr>
        <w:t>Michelyne</w:t>
      </w:r>
      <w:proofErr w:type="spellEnd"/>
      <w:r w:rsidRPr="00D612CA">
        <w:rPr>
          <w:szCs w:val="24"/>
        </w:rPr>
        <w:t xml:space="preserve"> Gingras, Hélène Goulet et Ginette Grenier.</w:t>
      </w:r>
    </w:p>
    <w:p w:rsidR="008535A7" w:rsidRPr="00D612CA" w:rsidRDefault="008535A7" w:rsidP="008535A7">
      <w:pPr>
        <w:ind w:left="170" w:right="170"/>
        <w:jc w:val="both"/>
        <w:rPr>
          <w:szCs w:val="24"/>
        </w:rPr>
      </w:pPr>
    </w:p>
    <w:p w:rsidR="008535A7" w:rsidRPr="00D612CA" w:rsidRDefault="008535A7" w:rsidP="008535A7">
      <w:pPr>
        <w:ind w:left="170" w:right="170"/>
        <w:jc w:val="both"/>
        <w:rPr>
          <w:szCs w:val="24"/>
        </w:rPr>
      </w:pPr>
    </w:p>
    <w:p w:rsidR="008535A7" w:rsidRPr="00D612CA" w:rsidRDefault="008535A7" w:rsidP="008535A7">
      <w:pPr>
        <w:ind w:left="170" w:right="170"/>
        <w:jc w:val="both"/>
        <w:rPr>
          <w:szCs w:val="24"/>
        </w:rPr>
      </w:pPr>
      <w:r w:rsidRPr="00D612CA">
        <w:rPr>
          <w:szCs w:val="24"/>
        </w:rPr>
        <w:t xml:space="preserve">                                                                                                    Pierrette </w:t>
      </w:r>
      <w:proofErr w:type="spellStart"/>
      <w:r w:rsidRPr="00D612CA">
        <w:rPr>
          <w:szCs w:val="24"/>
        </w:rPr>
        <w:t>Denault</w:t>
      </w:r>
      <w:proofErr w:type="spellEnd"/>
    </w:p>
    <w:p w:rsidR="008535A7" w:rsidRPr="00D612CA" w:rsidRDefault="008535A7" w:rsidP="00E234DE">
      <w:pPr>
        <w:ind w:left="170" w:right="170"/>
        <w:jc w:val="both"/>
        <w:rPr>
          <w:rFonts w:ascii="Book Antiqua" w:hAnsi="Book Antiqua"/>
          <w:szCs w:val="24"/>
        </w:rPr>
      </w:pPr>
      <w:r w:rsidRPr="00D612CA">
        <w:rPr>
          <w:szCs w:val="24"/>
        </w:rPr>
        <w:t xml:space="preserve">                                                                                                   </w:t>
      </w:r>
      <w:r w:rsidR="00D612CA">
        <w:rPr>
          <w:szCs w:val="24"/>
        </w:rPr>
        <w:t xml:space="preserve"> </w:t>
      </w:r>
      <w:proofErr w:type="gramStart"/>
      <w:r w:rsidRPr="00D612CA">
        <w:rPr>
          <w:szCs w:val="24"/>
        </w:rPr>
        <w:t>animatrice</w:t>
      </w:r>
      <w:proofErr w:type="gramEnd"/>
      <w:r w:rsidRPr="00D612CA">
        <w:rPr>
          <w:szCs w:val="24"/>
        </w:rPr>
        <w:t xml:space="preserve"> des rencontre</w:t>
      </w:r>
      <w:r w:rsidR="00E234DE" w:rsidRPr="00D612CA">
        <w:rPr>
          <w:szCs w:val="24"/>
        </w:rPr>
        <w:t>s</w:t>
      </w:r>
      <w:r w:rsidRPr="00D612CA">
        <w:rPr>
          <w:rFonts w:ascii="Book Antiqua" w:hAnsi="Book Antiqua"/>
          <w:szCs w:val="24"/>
        </w:rPr>
        <w:t xml:space="preserve">                                                                                                    </w:t>
      </w:r>
    </w:p>
    <w:sectPr w:rsidR="008535A7" w:rsidRPr="00D612CA" w:rsidSect="00D612CA">
      <w:pgSz w:w="12240" w:h="15840"/>
      <w:pgMar w:top="851" w:right="1361" w:bottom="90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AC"/>
    <w:rsid w:val="00622D06"/>
    <w:rsid w:val="008535A7"/>
    <w:rsid w:val="0096340A"/>
    <w:rsid w:val="009C24AC"/>
    <w:rsid w:val="00BB44A8"/>
    <w:rsid w:val="00BB541D"/>
    <w:rsid w:val="00C50B58"/>
    <w:rsid w:val="00D612CA"/>
    <w:rsid w:val="00E234DE"/>
    <w:rsid w:val="00E435C7"/>
    <w:rsid w:val="00F030CD"/>
    <w:rsid w:val="00FD1F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4AC"/>
    <w:rPr>
      <w:rFonts w:ascii="Tahoma" w:hAnsi="Tahoma" w:cs="Tahoma"/>
      <w:sz w:val="16"/>
      <w:szCs w:val="16"/>
    </w:rPr>
  </w:style>
  <w:style w:type="character" w:customStyle="1" w:styleId="TextedebullesCar">
    <w:name w:val="Texte de bulles Car"/>
    <w:basedOn w:val="Policepardfaut"/>
    <w:link w:val="Textedebulles"/>
    <w:uiPriority w:val="99"/>
    <w:semiHidden/>
    <w:rsid w:val="009C2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4AC"/>
    <w:rPr>
      <w:rFonts w:ascii="Tahoma" w:hAnsi="Tahoma" w:cs="Tahoma"/>
      <w:sz w:val="16"/>
      <w:szCs w:val="16"/>
    </w:rPr>
  </w:style>
  <w:style w:type="character" w:customStyle="1" w:styleId="TextedebullesCar">
    <w:name w:val="Texte de bulles Car"/>
    <w:basedOn w:val="Policepardfaut"/>
    <w:link w:val="Textedebulles"/>
    <w:uiPriority w:val="99"/>
    <w:semiHidden/>
    <w:rsid w:val="009C2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Utilisateur Windows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 Berger</dc:creator>
  <cp:lastModifiedBy>Angèle Berger</cp:lastModifiedBy>
  <cp:revision>3</cp:revision>
  <dcterms:created xsi:type="dcterms:W3CDTF">2019-05-22T02:17:00Z</dcterms:created>
  <dcterms:modified xsi:type="dcterms:W3CDTF">2019-05-22T18:00:00Z</dcterms:modified>
</cp:coreProperties>
</file>