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9BD3" w14:textId="77777777" w:rsidR="007675B3" w:rsidRDefault="007675B3" w:rsidP="007675B3">
      <w:pPr>
        <w:jc w:val="left"/>
        <w:rPr>
          <w:b/>
          <w:sz w:val="28"/>
          <w:szCs w:val="28"/>
        </w:rPr>
      </w:pPr>
      <w:r>
        <w:rPr>
          <w:noProof/>
          <w:snapToGrid/>
        </w:rPr>
        <w:drawing>
          <wp:inline distT="0" distB="0" distL="0" distR="0" wp14:anchorId="3C873A1E" wp14:editId="2ACD7262">
            <wp:extent cx="1509395" cy="594995"/>
            <wp:effectExtent l="0" t="0" r="0" b="0"/>
            <wp:docPr id="1" name="Image 1" descr="Logo AREQ court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EQ court Noi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9395" cy="594995"/>
                    </a:xfrm>
                    <a:prstGeom prst="rect">
                      <a:avLst/>
                    </a:prstGeom>
                    <a:noFill/>
                    <a:ln>
                      <a:noFill/>
                    </a:ln>
                  </pic:spPr>
                </pic:pic>
              </a:graphicData>
            </a:graphic>
          </wp:inline>
        </w:drawing>
      </w:r>
    </w:p>
    <w:p w14:paraId="5AC9AFE3" w14:textId="77777777" w:rsidR="00C11F1F" w:rsidRPr="002B36CF" w:rsidRDefault="00C11F1F" w:rsidP="007675B3">
      <w:pPr>
        <w:jc w:val="center"/>
        <w:rPr>
          <w:b/>
          <w:sz w:val="28"/>
          <w:szCs w:val="28"/>
        </w:rPr>
      </w:pPr>
      <w:r w:rsidRPr="002B36CF">
        <w:rPr>
          <w:b/>
          <w:sz w:val="28"/>
          <w:szCs w:val="28"/>
        </w:rPr>
        <w:t>ASSUREQ</w:t>
      </w:r>
    </w:p>
    <w:p w14:paraId="066D8730" w14:textId="77777777" w:rsidR="009D3FE3" w:rsidRPr="002B36CF" w:rsidRDefault="009D3FE3" w:rsidP="00C11F1F">
      <w:pPr>
        <w:jc w:val="center"/>
        <w:rPr>
          <w:b/>
          <w:sz w:val="28"/>
          <w:szCs w:val="28"/>
        </w:rPr>
      </w:pPr>
    </w:p>
    <w:p w14:paraId="05EBE132" w14:textId="7B88CD71" w:rsidR="00157A02" w:rsidRPr="002B36CF" w:rsidRDefault="00507192" w:rsidP="00C11F1F">
      <w:pPr>
        <w:jc w:val="center"/>
        <w:rPr>
          <w:b/>
          <w:sz w:val="28"/>
          <w:szCs w:val="28"/>
        </w:rPr>
      </w:pPr>
      <w:r w:rsidRPr="002B36CF">
        <w:rPr>
          <w:b/>
          <w:sz w:val="28"/>
          <w:szCs w:val="28"/>
        </w:rPr>
        <w:t xml:space="preserve">Aide-mémoire </w:t>
      </w:r>
      <w:r w:rsidR="003E57A3" w:rsidRPr="002B36CF">
        <w:rPr>
          <w:b/>
          <w:sz w:val="28"/>
          <w:szCs w:val="28"/>
        </w:rPr>
        <w:t xml:space="preserve">pour la personne conjointe survivante en cas de </w:t>
      </w:r>
      <w:r w:rsidR="003A697F">
        <w:rPr>
          <w:b/>
          <w:sz w:val="28"/>
          <w:szCs w:val="28"/>
        </w:rPr>
        <w:br/>
      </w:r>
      <w:r w:rsidR="003E57A3" w:rsidRPr="002B36CF">
        <w:rPr>
          <w:b/>
          <w:sz w:val="28"/>
          <w:szCs w:val="28"/>
        </w:rPr>
        <w:t>décès</w:t>
      </w:r>
      <w:r w:rsidR="003A697F">
        <w:rPr>
          <w:b/>
          <w:sz w:val="28"/>
          <w:szCs w:val="28"/>
        </w:rPr>
        <w:t xml:space="preserve"> </w:t>
      </w:r>
      <w:r w:rsidR="00157A02" w:rsidRPr="002B36CF">
        <w:rPr>
          <w:b/>
          <w:sz w:val="28"/>
          <w:szCs w:val="28"/>
        </w:rPr>
        <w:t>du membre ASSUREQ</w:t>
      </w:r>
    </w:p>
    <w:p w14:paraId="452ADD55" w14:textId="77777777" w:rsidR="003E57A3" w:rsidRPr="002B36CF" w:rsidRDefault="003E57A3" w:rsidP="00C11F1F"/>
    <w:p w14:paraId="67C67C16" w14:textId="77777777" w:rsidR="000875DC" w:rsidRPr="000875DC" w:rsidRDefault="000875DC" w:rsidP="000875DC">
      <w:pPr>
        <w:pBdr>
          <w:top w:val="single" w:sz="4" w:space="1" w:color="auto"/>
          <w:left w:val="single" w:sz="4" w:space="4" w:color="auto"/>
          <w:bottom w:val="single" w:sz="4" w:space="10" w:color="auto"/>
          <w:right w:val="single" w:sz="4" w:space="4" w:color="auto"/>
        </w:pBdr>
        <w:rPr>
          <w:color w:val="000000" w:themeColor="text1"/>
          <w:sz w:val="16"/>
          <w:szCs w:val="16"/>
        </w:rPr>
      </w:pPr>
    </w:p>
    <w:p w14:paraId="1879D921" w14:textId="77777777" w:rsidR="00C2123B" w:rsidRPr="002B36CF" w:rsidRDefault="003E57A3" w:rsidP="003A697F">
      <w:pPr>
        <w:pBdr>
          <w:top w:val="single" w:sz="4" w:space="1" w:color="auto"/>
          <w:left w:val="single" w:sz="4" w:space="4" w:color="auto"/>
          <w:bottom w:val="single" w:sz="4" w:space="10" w:color="auto"/>
          <w:right w:val="single" w:sz="4" w:space="4" w:color="auto"/>
        </w:pBdr>
        <w:spacing w:after="120"/>
        <w:rPr>
          <w:color w:val="000000" w:themeColor="text1"/>
        </w:rPr>
      </w:pPr>
      <w:r w:rsidRPr="002B36CF">
        <w:rPr>
          <w:color w:val="000000" w:themeColor="text1"/>
        </w:rPr>
        <w:t xml:space="preserve">Ce </w:t>
      </w:r>
      <w:r w:rsidR="00507192" w:rsidRPr="002B36CF">
        <w:rPr>
          <w:color w:val="000000" w:themeColor="text1"/>
        </w:rPr>
        <w:t xml:space="preserve">document </w:t>
      </w:r>
      <w:r w:rsidR="00400E02" w:rsidRPr="002B36CF">
        <w:rPr>
          <w:color w:val="000000" w:themeColor="text1"/>
        </w:rPr>
        <w:t xml:space="preserve">s’adresse à la personne conjointe survivante </w:t>
      </w:r>
      <w:r w:rsidR="00C962D3" w:rsidRPr="002B36CF">
        <w:rPr>
          <w:color w:val="000000" w:themeColor="text1"/>
        </w:rPr>
        <w:t xml:space="preserve">en cas de </w:t>
      </w:r>
      <w:r w:rsidR="00400E02" w:rsidRPr="002B36CF">
        <w:rPr>
          <w:color w:val="000000" w:themeColor="text1"/>
        </w:rPr>
        <w:t xml:space="preserve">décès du membre ASSUREQ et </w:t>
      </w:r>
      <w:r w:rsidR="00507192" w:rsidRPr="002B36CF">
        <w:rPr>
          <w:color w:val="000000" w:themeColor="text1"/>
        </w:rPr>
        <w:t xml:space="preserve">consiste en un aide-mémoire </w:t>
      </w:r>
      <w:r w:rsidR="00400E02" w:rsidRPr="002B36CF">
        <w:rPr>
          <w:color w:val="000000" w:themeColor="text1"/>
        </w:rPr>
        <w:t xml:space="preserve">des démarches à effectuer </w:t>
      </w:r>
      <w:r w:rsidR="002625F6" w:rsidRPr="002B36CF">
        <w:rPr>
          <w:color w:val="000000" w:themeColor="text1"/>
        </w:rPr>
        <w:t>auprès de l’assureur</w:t>
      </w:r>
      <w:r w:rsidR="00507192" w:rsidRPr="002B36CF">
        <w:rPr>
          <w:color w:val="000000" w:themeColor="text1"/>
        </w:rPr>
        <w:t xml:space="preserve"> SSQ</w:t>
      </w:r>
      <w:r w:rsidR="00400E02" w:rsidRPr="002B36CF">
        <w:rPr>
          <w:color w:val="000000" w:themeColor="text1"/>
        </w:rPr>
        <w:t xml:space="preserve"> concernant le</w:t>
      </w:r>
      <w:r w:rsidR="00400E02" w:rsidRPr="002B36CF">
        <w:rPr>
          <w:b/>
          <w:color w:val="000000" w:themeColor="text1"/>
        </w:rPr>
        <w:t xml:space="preserve"> régime d’assurance collective ASSUREQ</w:t>
      </w:r>
      <w:r w:rsidR="00507192" w:rsidRPr="002B36CF">
        <w:rPr>
          <w:color w:val="000000" w:themeColor="text1"/>
        </w:rPr>
        <w:t xml:space="preserve">. </w:t>
      </w:r>
    </w:p>
    <w:p w14:paraId="21C3A5F7" w14:textId="77777777" w:rsidR="00A53324" w:rsidRPr="002B36CF" w:rsidRDefault="003E57A3" w:rsidP="000875DC">
      <w:pPr>
        <w:pBdr>
          <w:top w:val="single" w:sz="4" w:space="1" w:color="auto"/>
          <w:left w:val="single" w:sz="4" w:space="4" w:color="auto"/>
          <w:bottom w:val="single" w:sz="4" w:space="10" w:color="auto"/>
          <w:right w:val="single" w:sz="4" w:space="4" w:color="auto"/>
        </w:pBdr>
        <w:rPr>
          <w:color w:val="000000" w:themeColor="text1"/>
        </w:rPr>
      </w:pPr>
      <w:r w:rsidRPr="002B36CF">
        <w:rPr>
          <w:color w:val="000000" w:themeColor="text1"/>
        </w:rPr>
        <w:t>Pour connaître l</w:t>
      </w:r>
      <w:r w:rsidR="002D4170" w:rsidRPr="002B36CF">
        <w:rPr>
          <w:color w:val="000000" w:themeColor="text1"/>
        </w:rPr>
        <w:t>’ensemble d</w:t>
      </w:r>
      <w:r w:rsidRPr="002B36CF">
        <w:rPr>
          <w:color w:val="000000" w:themeColor="text1"/>
        </w:rPr>
        <w:t>es démarches à faire auprès des ministère</w:t>
      </w:r>
      <w:r w:rsidR="002625F6" w:rsidRPr="002B36CF">
        <w:rPr>
          <w:color w:val="000000" w:themeColor="text1"/>
        </w:rPr>
        <w:t xml:space="preserve">s et </w:t>
      </w:r>
      <w:r w:rsidR="002D4170" w:rsidRPr="002B36CF">
        <w:rPr>
          <w:color w:val="000000" w:themeColor="text1"/>
        </w:rPr>
        <w:t xml:space="preserve">organismes gouvernementaux, </w:t>
      </w:r>
      <w:r w:rsidRPr="002B36CF">
        <w:rPr>
          <w:color w:val="000000" w:themeColor="text1"/>
        </w:rPr>
        <w:t xml:space="preserve">nous vous suggérons de consulter le site </w:t>
      </w:r>
      <w:r w:rsidR="00C2123B" w:rsidRPr="002B36CF">
        <w:rPr>
          <w:color w:val="000000" w:themeColor="text1"/>
        </w:rPr>
        <w:t xml:space="preserve">Internet </w:t>
      </w:r>
      <w:r w:rsidR="001372FC" w:rsidRPr="002B36CF">
        <w:rPr>
          <w:color w:val="000000" w:themeColor="text1"/>
        </w:rPr>
        <w:t xml:space="preserve">de Services Québec-citoyens, </w:t>
      </w:r>
      <w:r w:rsidR="001372FC" w:rsidRPr="002B36CF">
        <w:rPr>
          <w:i/>
          <w:color w:val="000000" w:themeColor="text1"/>
        </w:rPr>
        <w:t>Que faire en cas de décès</w:t>
      </w:r>
      <w:r w:rsidR="001372FC" w:rsidRPr="002B36CF">
        <w:rPr>
          <w:color w:val="000000" w:themeColor="text1"/>
        </w:rPr>
        <w:t>.</w:t>
      </w:r>
    </w:p>
    <w:p w14:paraId="69C2C859" w14:textId="77777777" w:rsidR="000D38D7" w:rsidRPr="000875DC" w:rsidRDefault="000D38D7" w:rsidP="000D38D7">
      <w:pPr>
        <w:rPr>
          <w:color w:val="000000" w:themeColor="text1"/>
          <w:sz w:val="28"/>
          <w:szCs w:val="28"/>
        </w:rPr>
      </w:pPr>
    </w:p>
    <w:p w14:paraId="708CF371" w14:textId="6B9C3BEB" w:rsidR="002D4170" w:rsidRPr="002B36CF" w:rsidRDefault="002625F6" w:rsidP="000D38D7">
      <w:pPr>
        <w:rPr>
          <w:color w:val="000000" w:themeColor="text1"/>
        </w:rPr>
      </w:pPr>
      <w:r w:rsidRPr="002B36CF">
        <w:rPr>
          <w:color w:val="000000" w:themeColor="text1"/>
        </w:rPr>
        <w:t xml:space="preserve">Lorsque survient le décès d’un </w:t>
      </w:r>
      <w:r w:rsidR="00C11F1F" w:rsidRPr="002B36CF">
        <w:rPr>
          <w:color w:val="000000" w:themeColor="text1"/>
        </w:rPr>
        <w:t xml:space="preserve">membre </w:t>
      </w:r>
      <w:r w:rsidRPr="002B36CF">
        <w:rPr>
          <w:color w:val="000000" w:themeColor="text1"/>
        </w:rPr>
        <w:t xml:space="preserve">ASSUREQ, la personne conjointe survivante </w:t>
      </w:r>
      <w:r w:rsidR="00C11F1F" w:rsidRPr="002B36CF">
        <w:rPr>
          <w:color w:val="000000" w:themeColor="text1"/>
        </w:rPr>
        <w:t xml:space="preserve">peut choisir d’être assurée par le régime d’assurance maladie et d’assurance vie </w:t>
      </w:r>
      <w:r w:rsidR="00400E02" w:rsidRPr="002B36CF">
        <w:rPr>
          <w:color w:val="000000" w:themeColor="text1"/>
        </w:rPr>
        <w:t xml:space="preserve">d’ASSUREQ </w:t>
      </w:r>
      <w:r w:rsidR="00C11F1F" w:rsidRPr="002B36CF">
        <w:rPr>
          <w:color w:val="000000" w:themeColor="text1"/>
        </w:rPr>
        <w:t>à titre de personne adhérente</w:t>
      </w:r>
      <w:r w:rsidR="009D3FE3" w:rsidRPr="002B36CF">
        <w:rPr>
          <w:b/>
          <w:color w:val="000000" w:themeColor="text1"/>
        </w:rPr>
        <w:t>,</w:t>
      </w:r>
      <w:r w:rsidR="00C11F1F" w:rsidRPr="002B36CF">
        <w:rPr>
          <w:b/>
          <w:color w:val="000000" w:themeColor="text1"/>
        </w:rPr>
        <w:t xml:space="preserve"> à condition d’être déjà assurée en vertu du statut de protection familial de ces régimes</w:t>
      </w:r>
      <w:r w:rsidR="007F5696">
        <w:rPr>
          <w:b/>
          <w:color w:val="000000" w:themeColor="text1"/>
        </w:rPr>
        <w:t>,</w:t>
      </w:r>
      <w:r w:rsidR="00C11F1F" w:rsidRPr="002B36CF">
        <w:rPr>
          <w:color w:val="000000" w:themeColor="text1"/>
        </w:rPr>
        <w:t xml:space="preserve"> immédiatement avant le décès de la personne adhérente. </w:t>
      </w:r>
    </w:p>
    <w:p w14:paraId="6A643294" w14:textId="77777777" w:rsidR="00C11F1F" w:rsidRPr="002B36CF" w:rsidRDefault="00C11F1F" w:rsidP="000D38D7">
      <w:pPr>
        <w:rPr>
          <w:color w:val="000000" w:themeColor="text1"/>
        </w:rPr>
      </w:pPr>
    </w:p>
    <w:p w14:paraId="20F553A0" w14:textId="77777777" w:rsidR="00C11F1F" w:rsidRPr="002B36CF" w:rsidRDefault="00C11F1F" w:rsidP="000D38D7">
      <w:pPr>
        <w:rPr>
          <w:color w:val="000000" w:themeColor="text1"/>
        </w:rPr>
      </w:pPr>
      <w:r w:rsidRPr="002B36CF">
        <w:rPr>
          <w:color w:val="000000" w:themeColor="text1"/>
        </w:rPr>
        <w:t xml:space="preserve">Pour ce faire, des démarches sont nécessaires dans un délai prescrit qu’il est primordial de respecter sans quoi la personne conjointe survivante pourrait perdre </w:t>
      </w:r>
      <w:r w:rsidR="00157A02" w:rsidRPr="002B36CF">
        <w:rPr>
          <w:color w:val="000000" w:themeColor="text1"/>
        </w:rPr>
        <w:t>son</w:t>
      </w:r>
      <w:r w:rsidRPr="002B36CF">
        <w:rPr>
          <w:color w:val="000000" w:themeColor="text1"/>
        </w:rPr>
        <w:t xml:space="preserve"> droit </w:t>
      </w:r>
      <w:r w:rsidR="00157A02" w:rsidRPr="002B36CF">
        <w:rPr>
          <w:color w:val="000000" w:themeColor="text1"/>
        </w:rPr>
        <w:t>d’admissibilité au régime d’</w:t>
      </w:r>
      <w:r w:rsidR="00A53324" w:rsidRPr="002B36CF">
        <w:rPr>
          <w:color w:val="000000" w:themeColor="text1"/>
        </w:rPr>
        <w:t xml:space="preserve">assurance collective ASSUREQ. </w:t>
      </w:r>
    </w:p>
    <w:p w14:paraId="7E95DE43" w14:textId="77777777" w:rsidR="00A53324" w:rsidRPr="002B36CF" w:rsidRDefault="00A53324" w:rsidP="000D38D7">
      <w:pPr>
        <w:rPr>
          <w:color w:val="000000" w:themeColor="text1"/>
        </w:rPr>
      </w:pPr>
    </w:p>
    <w:p w14:paraId="567CB8EF" w14:textId="77777777" w:rsidR="00786FAE" w:rsidRPr="002B36CF" w:rsidRDefault="00CB7EDE" w:rsidP="000D38D7">
      <w:pPr>
        <w:rPr>
          <w:b/>
          <w:color w:val="000000" w:themeColor="text1"/>
        </w:rPr>
      </w:pPr>
      <w:r w:rsidRPr="002B36CF">
        <w:rPr>
          <w:b/>
          <w:color w:val="000000" w:themeColor="text1"/>
        </w:rPr>
        <w:t>Lors du d</w:t>
      </w:r>
      <w:r w:rsidR="00A53324" w:rsidRPr="002B36CF">
        <w:rPr>
          <w:b/>
          <w:color w:val="000000" w:themeColor="text1"/>
        </w:rPr>
        <w:t xml:space="preserve">écès du membre </w:t>
      </w:r>
      <w:r w:rsidR="005F3E61" w:rsidRPr="002B36CF">
        <w:rPr>
          <w:b/>
          <w:color w:val="000000" w:themeColor="text1"/>
        </w:rPr>
        <w:t>ASSUREQ</w:t>
      </w:r>
    </w:p>
    <w:p w14:paraId="09CF87C3" w14:textId="77777777" w:rsidR="001C0F76" w:rsidRPr="002B36CF" w:rsidRDefault="001C0F76" w:rsidP="000D38D7">
      <w:pPr>
        <w:rPr>
          <w:color w:val="000000" w:themeColor="text1"/>
          <w:u w:val="single"/>
        </w:rPr>
      </w:pPr>
    </w:p>
    <w:p w14:paraId="7997FCA2" w14:textId="77777777" w:rsidR="005F3E61" w:rsidRPr="002B36CF" w:rsidRDefault="00A53324" w:rsidP="005C26F8">
      <w:pPr>
        <w:pStyle w:val="Paragraphedeliste"/>
        <w:numPr>
          <w:ilvl w:val="0"/>
          <w:numId w:val="7"/>
        </w:numPr>
        <w:rPr>
          <w:color w:val="000000" w:themeColor="text1"/>
        </w:rPr>
      </w:pPr>
      <w:r w:rsidRPr="002B36CF">
        <w:rPr>
          <w:color w:val="000000" w:themeColor="text1"/>
        </w:rPr>
        <w:t xml:space="preserve">Communiquer avec </w:t>
      </w:r>
      <w:r w:rsidR="005F3E61" w:rsidRPr="002B36CF">
        <w:rPr>
          <w:color w:val="000000" w:themeColor="text1"/>
        </w:rPr>
        <w:t>SSQ</w:t>
      </w:r>
      <w:r w:rsidRPr="002B36CF">
        <w:rPr>
          <w:color w:val="000000" w:themeColor="text1"/>
        </w:rPr>
        <w:t xml:space="preserve"> pour aviser du décès</w:t>
      </w:r>
      <w:r w:rsidR="0083378E" w:rsidRPr="002B36CF">
        <w:rPr>
          <w:color w:val="000000" w:themeColor="text1"/>
        </w:rPr>
        <w:t>.</w:t>
      </w:r>
    </w:p>
    <w:p w14:paraId="56C3C6EA" w14:textId="77777777" w:rsidR="001C0F76" w:rsidRPr="002B36CF" w:rsidRDefault="001C0F76" w:rsidP="000D38D7">
      <w:pPr>
        <w:rPr>
          <w:color w:val="000000" w:themeColor="text1"/>
          <w:u w:val="single"/>
        </w:rPr>
      </w:pPr>
    </w:p>
    <w:p w14:paraId="2FB2E6C9" w14:textId="77777777" w:rsidR="00442A55" w:rsidRPr="002B36CF" w:rsidRDefault="00442A55" w:rsidP="005C26F8">
      <w:pPr>
        <w:pStyle w:val="Paragraphedeliste"/>
        <w:numPr>
          <w:ilvl w:val="0"/>
          <w:numId w:val="7"/>
        </w:numPr>
        <w:rPr>
          <w:color w:val="000000" w:themeColor="text1"/>
        </w:rPr>
      </w:pPr>
      <w:r w:rsidRPr="002B36CF">
        <w:rPr>
          <w:color w:val="000000" w:themeColor="text1"/>
        </w:rPr>
        <w:t xml:space="preserve">Peu après avoir été avisé, SSQ fera parvenir une enveloppe destinée à la personne conjointe survivante. Cette enveloppe contient un formulaire de demande d’adhésion à l’AREQ et un formulaire de </w:t>
      </w:r>
      <w:r w:rsidR="00157A02" w:rsidRPr="002B36CF">
        <w:rPr>
          <w:color w:val="000000" w:themeColor="text1"/>
        </w:rPr>
        <w:t>continuation d’assurance</w:t>
      </w:r>
      <w:r w:rsidRPr="002B36CF">
        <w:rPr>
          <w:color w:val="000000" w:themeColor="text1"/>
        </w:rPr>
        <w:t xml:space="preserve"> à ASSUREQ pour </w:t>
      </w:r>
      <w:r w:rsidR="00157A02" w:rsidRPr="002B36CF">
        <w:rPr>
          <w:color w:val="000000" w:themeColor="text1"/>
        </w:rPr>
        <w:t xml:space="preserve">la </w:t>
      </w:r>
      <w:r w:rsidRPr="002B36CF">
        <w:rPr>
          <w:color w:val="000000" w:themeColor="text1"/>
        </w:rPr>
        <w:t>personne conjointe survivante.</w:t>
      </w:r>
    </w:p>
    <w:p w14:paraId="7D4C7672" w14:textId="77777777" w:rsidR="009D3FE3" w:rsidRPr="002B36CF" w:rsidRDefault="009D3FE3" w:rsidP="000D38D7">
      <w:pPr>
        <w:rPr>
          <w:color w:val="000000" w:themeColor="text1"/>
        </w:rPr>
      </w:pPr>
    </w:p>
    <w:p w14:paraId="7968F3EA" w14:textId="49572C28" w:rsidR="009D3FE3" w:rsidRPr="002B36CF" w:rsidRDefault="00400E02" w:rsidP="00157A02">
      <w:pPr>
        <w:ind w:left="720" w:hanging="12"/>
        <w:rPr>
          <w:color w:val="000000" w:themeColor="text1"/>
        </w:rPr>
      </w:pPr>
      <w:r w:rsidRPr="002B36CF">
        <w:rPr>
          <w:color w:val="000000" w:themeColor="text1"/>
        </w:rPr>
        <w:t>Veuillez noter que l</w:t>
      </w:r>
      <w:r w:rsidR="009D3FE3" w:rsidRPr="002B36CF">
        <w:rPr>
          <w:color w:val="000000" w:themeColor="text1"/>
        </w:rPr>
        <w:t>’enveloppe sera adressée à</w:t>
      </w:r>
      <w:r w:rsidR="00157A02" w:rsidRPr="002B36CF">
        <w:rPr>
          <w:color w:val="000000" w:themeColor="text1"/>
        </w:rPr>
        <w:t xml:space="preserve"> la succession </w:t>
      </w:r>
      <w:r w:rsidR="0041393D">
        <w:rPr>
          <w:color w:val="000000" w:themeColor="text1"/>
        </w:rPr>
        <w:t xml:space="preserve">et envoyée </w:t>
      </w:r>
      <w:r w:rsidR="00157A02" w:rsidRPr="002B36CF">
        <w:rPr>
          <w:color w:val="000000" w:themeColor="text1"/>
        </w:rPr>
        <w:t>à l’adresse</w:t>
      </w:r>
      <w:r w:rsidR="0041393D">
        <w:rPr>
          <w:color w:val="000000" w:themeColor="text1"/>
        </w:rPr>
        <w:t xml:space="preserve"> postale de la personne décédée</w:t>
      </w:r>
      <w:r w:rsidR="009D3FE3" w:rsidRPr="002B36CF">
        <w:rPr>
          <w:color w:val="000000" w:themeColor="text1"/>
        </w:rPr>
        <w:t>.</w:t>
      </w:r>
    </w:p>
    <w:p w14:paraId="4A6245A1" w14:textId="77777777" w:rsidR="00442A55" w:rsidRPr="002B36CF" w:rsidRDefault="00442A55" w:rsidP="000D38D7">
      <w:pPr>
        <w:rPr>
          <w:color w:val="000000" w:themeColor="text1"/>
        </w:rPr>
      </w:pPr>
    </w:p>
    <w:p w14:paraId="37160170" w14:textId="77777777" w:rsidR="00442A55" w:rsidRPr="002B36CF" w:rsidRDefault="00442A55" w:rsidP="005C26F8">
      <w:pPr>
        <w:ind w:left="708"/>
        <w:rPr>
          <w:color w:val="000000" w:themeColor="text1"/>
        </w:rPr>
      </w:pPr>
      <w:r w:rsidRPr="002B36CF">
        <w:rPr>
          <w:color w:val="000000" w:themeColor="text1"/>
        </w:rPr>
        <w:t xml:space="preserve">La demande d’adhésion à ASSUREQ doit être </w:t>
      </w:r>
      <w:r w:rsidR="00157A02" w:rsidRPr="002B36CF">
        <w:rPr>
          <w:color w:val="000000" w:themeColor="text1"/>
        </w:rPr>
        <w:t>transmise</w:t>
      </w:r>
      <w:r w:rsidRPr="002B36CF">
        <w:rPr>
          <w:color w:val="000000" w:themeColor="text1"/>
        </w:rPr>
        <w:t xml:space="preserve"> dans les </w:t>
      </w:r>
      <w:r w:rsidRPr="002B36CF">
        <w:rPr>
          <w:b/>
          <w:color w:val="000000" w:themeColor="text1"/>
        </w:rPr>
        <w:t>90 jours</w:t>
      </w:r>
      <w:r w:rsidRPr="002B36CF">
        <w:rPr>
          <w:color w:val="000000" w:themeColor="text1"/>
        </w:rPr>
        <w:t xml:space="preserve"> suivant la date du décès. </w:t>
      </w:r>
      <w:r w:rsidRPr="002B36CF">
        <w:rPr>
          <w:b/>
          <w:color w:val="000000" w:themeColor="text1"/>
        </w:rPr>
        <w:t>Si ce délai n’est pas respecté, la personne conjointe survivante perd son droit</w:t>
      </w:r>
      <w:r w:rsidR="00157A02" w:rsidRPr="002B36CF">
        <w:rPr>
          <w:b/>
          <w:color w:val="000000" w:themeColor="text1"/>
        </w:rPr>
        <w:t xml:space="preserve"> d’admissibilité au régime d’</w:t>
      </w:r>
      <w:r w:rsidRPr="002B36CF">
        <w:rPr>
          <w:b/>
          <w:color w:val="000000" w:themeColor="text1"/>
        </w:rPr>
        <w:t>assurance collective ASSUREQ</w:t>
      </w:r>
      <w:r w:rsidRPr="002B36CF">
        <w:rPr>
          <w:color w:val="000000" w:themeColor="text1"/>
        </w:rPr>
        <w:t xml:space="preserve">. </w:t>
      </w:r>
    </w:p>
    <w:p w14:paraId="6241F842" w14:textId="77777777" w:rsidR="00400E02" w:rsidRPr="002B36CF" w:rsidRDefault="00400E02" w:rsidP="000D38D7">
      <w:pPr>
        <w:rPr>
          <w:color w:val="000000" w:themeColor="text1"/>
        </w:rPr>
      </w:pPr>
    </w:p>
    <w:p w14:paraId="17DDDC43" w14:textId="2C590FC3" w:rsidR="00400E02" w:rsidRPr="002B36CF" w:rsidRDefault="00400E02" w:rsidP="002B36CF">
      <w:pPr>
        <w:ind w:left="720" w:hanging="12"/>
        <w:rPr>
          <w:color w:val="000000" w:themeColor="text1"/>
        </w:rPr>
      </w:pPr>
      <w:r w:rsidRPr="002B36CF">
        <w:rPr>
          <w:color w:val="000000" w:themeColor="text1"/>
        </w:rPr>
        <w:t>Le</w:t>
      </w:r>
      <w:r w:rsidR="001C0F76" w:rsidRPr="002B36CF">
        <w:rPr>
          <w:color w:val="000000" w:themeColor="text1"/>
        </w:rPr>
        <w:t>s</w:t>
      </w:r>
      <w:r w:rsidRPr="002B36CF">
        <w:rPr>
          <w:color w:val="000000" w:themeColor="text1"/>
        </w:rPr>
        <w:t xml:space="preserve"> formulaire</w:t>
      </w:r>
      <w:r w:rsidR="001C0F76" w:rsidRPr="002B36CF">
        <w:rPr>
          <w:color w:val="000000" w:themeColor="text1"/>
        </w:rPr>
        <w:t>s</w:t>
      </w:r>
      <w:r w:rsidRPr="002B36CF">
        <w:rPr>
          <w:color w:val="000000" w:themeColor="text1"/>
        </w:rPr>
        <w:t xml:space="preserve"> d’adhésion à l’AREQ et </w:t>
      </w:r>
      <w:r w:rsidR="0041393D">
        <w:rPr>
          <w:color w:val="000000" w:themeColor="text1"/>
        </w:rPr>
        <w:t xml:space="preserve">de continuation d’assurance </w:t>
      </w:r>
      <w:r w:rsidRPr="002B36CF">
        <w:rPr>
          <w:color w:val="000000" w:themeColor="text1"/>
        </w:rPr>
        <w:t>à ASSUREQ doi</w:t>
      </w:r>
      <w:r w:rsidR="001C0F76" w:rsidRPr="002B36CF">
        <w:rPr>
          <w:color w:val="000000" w:themeColor="text1"/>
        </w:rPr>
        <w:t>ven</w:t>
      </w:r>
      <w:r w:rsidRPr="002B36CF">
        <w:rPr>
          <w:color w:val="000000" w:themeColor="text1"/>
        </w:rPr>
        <w:t>t être retournés à l’AREQ</w:t>
      </w:r>
      <w:r w:rsidR="001C0F76" w:rsidRPr="002B36CF">
        <w:rPr>
          <w:color w:val="000000" w:themeColor="text1"/>
        </w:rPr>
        <w:t xml:space="preserve">. </w:t>
      </w:r>
    </w:p>
    <w:p w14:paraId="3557B97A" w14:textId="77777777" w:rsidR="0083378E" w:rsidRDefault="0083378E" w:rsidP="005C26F8">
      <w:pPr>
        <w:pStyle w:val="Paragraphedeliste"/>
        <w:numPr>
          <w:ilvl w:val="0"/>
          <w:numId w:val="9"/>
        </w:numPr>
        <w:rPr>
          <w:color w:val="000000" w:themeColor="text1"/>
        </w:rPr>
      </w:pPr>
      <w:r w:rsidRPr="002B36CF">
        <w:rPr>
          <w:color w:val="000000" w:themeColor="text1"/>
        </w:rPr>
        <w:lastRenderedPageBreak/>
        <w:t xml:space="preserve">Faire une </w:t>
      </w:r>
      <w:r w:rsidR="00A53324" w:rsidRPr="002B36CF">
        <w:rPr>
          <w:color w:val="000000" w:themeColor="text1"/>
        </w:rPr>
        <w:t>demande de prestations d’assurance vie auprès de SSQ</w:t>
      </w:r>
      <w:r w:rsidRPr="002B36CF">
        <w:rPr>
          <w:color w:val="000000" w:themeColor="text1"/>
        </w:rPr>
        <w:t>,</w:t>
      </w:r>
      <w:r w:rsidR="00A53324" w:rsidRPr="002B36CF">
        <w:rPr>
          <w:color w:val="000000" w:themeColor="text1"/>
        </w:rPr>
        <w:t xml:space="preserve"> s’il y a lieu</w:t>
      </w:r>
      <w:r w:rsidRPr="002B36CF">
        <w:rPr>
          <w:color w:val="000000" w:themeColor="text1"/>
        </w:rPr>
        <w:t xml:space="preserve"> (applicable </w:t>
      </w:r>
      <w:r w:rsidR="001C0F76" w:rsidRPr="002B36CF">
        <w:rPr>
          <w:color w:val="000000" w:themeColor="text1"/>
        </w:rPr>
        <w:t>uniquement</w:t>
      </w:r>
      <w:r w:rsidRPr="002B36CF">
        <w:rPr>
          <w:color w:val="000000" w:themeColor="text1"/>
        </w:rPr>
        <w:t xml:space="preserve"> si le membre ASSUREQ participait au régime d’assurance vie </w:t>
      </w:r>
      <w:r w:rsidR="00577239" w:rsidRPr="002B36CF">
        <w:rPr>
          <w:color w:val="000000" w:themeColor="text1"/>
        </w:rPr>
        <w:t xml:space="preserve">d’ASSUREQ </w:t>
      </w:r>
      <w:r w:rsidRPr="002B36CF">
        <w:rPr>
          <w:color w:val="000000" w:themeColor="text1"/>
        </w:rPr>
        <w:t>avant son décès)</w:t>
      </w:r>
      <w:r w:rsidR="00A53324" w:rsidRPr="002B36CF">
        <w:rPr>
          <w:color w:val="000000" w:themeColor="text1"/>
        </w:rPr>
        <w:t xml:space="preserve">. </w:t>
      </w:r>
    </w:p>
    <w:p w14:paraId="01734D93" w14:textId="77777777" w:rsidR="006A3A8D" w:rsidRPr="006A3A8D" w:rsidRDefault="006A3A8D" w:rsidP="006A3A8D">
      <w:pPr>
        <w:ind w:left="360"/>
        <w:rPr>
          <w:color w:val="000000" w:themeColor="text1"/>
        </w:rPr>
      </w:pPr>
    </w:p>
    <w:p w14:paraId="3F73A21F" w14:textId="77777777" w:rsidR="0083378E" w:rsidRPr="002B36CF" w:rsidRDefault="00A53324" w:rsidP="005C26F8">
      <w:pPr>
        <w:ind w:firstLine="708"/>
        <w:rPr>
          <w:color w:val="000000" w:themeColor="text1"/>
        </w:rPr>
      </w:pPr>
      <w:r w:rsidRPr="002B36CF">
        <w:rPr>
          <w:color w:val="000000" w:themeColor="text1"/>
        </w:rPr>
        <w:t>Le</w:t>
      </w:r>
      <w:r w:rsidR="0083378E" w:rsidRPr="002B36CF">
        <w:rPr>
          <w:color w:val="000000" w:themeColor="text1"/>
        </w:rPr>
        <w:t xml:space="preserve"> </w:t>
      </w:r>
      <w:r w:rsidRPr="002B36CF">
        <w:rPr>
          <w:color w:val="000000" w:themeColor="text1"/>
        </w:rPr>
        <w:t>formulaire peut être obtenu en communiquant directement avec</w:t>
      </w:r>
      <w:r w:rsidR="0083378E" w:rsidRPr="002B36CF">
        <w:rPr>
          <w:color w:val="000000" w:themeColor="text1"/>
        </w:rPr>
        <w:t xml:space="preserve"> </w:t>
      </w:r>
      <w:r w:rsidR="001C0F76" w:rsidRPr="002B36CF">
        <w:rPr>
          <w:color w:val="000000" w:themeColor="text1"/>
        </w:rPr>
        <w:t>SSQ.</w:t>
      </w:r>
      <w:r w:rsidRPr="002B36CF">
        <w:rPr>
          <w:color w:val="000000" w:themeColor="text1"/>
        </w:rPr>
        <w:t xml:space="preserve"> </w:t>
      </w:r>
    </w:p>
    <w:p w14:paraId="521F4F10" w14:textId="77777777" w:rsidR="00157A02" w:rsidRPr="002B36CF" w:rsidRDefault="00157A02" w:rsidP="005C26F8">
      <w:pPr>
        <w:ind w:firstLine="708"/>
        <w:rPr>
          <w:color w:val="000000" w:themeColor="text1"/>
        </w:rPr>
      </w:pPr>
    </w:p>
    <w:p w14:paraId="1628E8EA" w14:textId="77777777" w:rsidR="005C26F8" w:rsidRDefault="0083378E" w:rsidP="00157A02">
      <w:pPr>
        <w:ind w:left="720"/>
        <w:rPr>
          <w:color w:val="000000" w:themeColor="text1"/>
        </w:rPr>
      </w:pPr>
      <w:r w:rsidRPr="002B36CF">
        <w:rPr>
          <w:color w:val="000000" w:themeColor="text1"/>
        </w:rPr>
        <w:t xml:space="preserve">Cette demande doit être </w:t>
      </w:r>
      <w:r w:rsidR="00157A02" w:rsidRPr="002B36CF">
        <w:rPr>
          <w:color w:val="000000" w:themeColor="text1"/>
        </w:rPr>
        <w:t>transmise</w:t>
      </w:r>
      <w:r w:rsidRPr="002B36CF">
        <w:rPr>
          <w:color w:val="000000" w:themeColor="text1"/>
        </w:rPr>
        <w:t xml:space="preserve"> dans les </w:t>
      </w:r>
      <w:r w:rsidRPr="007F5696">
        <w:rPr>
          <w:b/>
          <w:color w:val="000000" w:themeColor="text1"/>
        </w:rPr>
        <w:t>90 jours</w:t>
      </w:r>
      <w:r w:rsidRPr="002B36CF">
        <w:rPr>
          <w:color w:val="000000" w:themeColor="text1"/>
        </w:rPr>
        <w:t xml:space="preserve"> suivant le déc</w:t>
      </w:r>
      <w:r w:rsidR="001C0F76" w:rsidRPr="002B36CF">
        <w:rPr>
          <w:color w:val="000000" w:themeColor="text1"/>
        </w:rPr>
        <w:t>ès</w:t>
      </w:r>
      <w:r w:rsidR="00157A02" w:rsidRPr="002B36CF">
        <w:rPr>
          <w:color w:val="000000" w:themeColor="text1"/>
        </w:rPr>
        <w:t xml:space="preserve"> du membre ASSUREQ</w:t>
      </w:r>
      <w:r w:rsidR="001C0F76" w:rsidRPr="002B36CF">
        <w:rPr>
          <w:color w:val="000000" w:themeColor="text1"/>
        </w:rPr>
        <w:t>.</w:t>
      </w:r>
    </w:p>
    <w:p w14:paraId="7985E81D" w14:textId="77777777" w:rsidR="0041393D" w:rsidRPr="000875DC" w:rsidRDefault="0041393D" w:rsidP="00157A02">
      <w:pPr>
        <w:ind w:left="720"/>
        <w:rPr>
          <w:color w:val="000000" w:themeColor="text1"/>
          <w:sz w:val="32"/>
          <w:szCs w:val="32"/>
        </w:rPr>
      </w:pPr>
    </w:p>
    <w:p w14:paraId="44F79735" w14:textId="40069D8E" w:rsidR="00AF70EB" w:rsidRPr="003A697F" w:rsidRDefault="003B14C1" w:rsidP="002F60E8">
      <w:pPr>
        <w:jc w:val="center"/>
        <w:rPr>
          <w:b/>
          <w:color w:val="000000" w:themeColor="text1"/>
          <w:sz w:val="26"/>
          <w:szCs w:val="26"/>
        </w:rPr>
      </w:pPr>
      <w:r w:rsidRPr="003A697F">
        <w:rPr>
          <w:b/>
          <w:color w:val="000000" w:themeColor="text1"/>
          <w:sz w:val="26"/>
          <w:szCs w:val="26"/>
        </w:rPr>
        <w:t xml:space="preserve">Montant de protection payable </w:t>
      </w:r>
      <w:r w:rsidR="0041393D" w:rsidRPr="003A697F">
        <w:rPr>
          <w:b/>
          <w:color w:val="000000" w:themeColor="text1"/>
          <w:sz w:val="26"/>
          <w:szCs w:val="26"/>
        </w:rPr>
        <w:t>au(x) bénéficiaire(s) lors du</w:t>
      </w:r>
      <w:r w:rsidRPr="003A697F">
        <w:rPr>
          <w:b/>
          <w:color w:val="000000" w:themeColor="text1"/>
          <w:sz w:val="26"/>
          <w:szCs w:val="26"/>
        </w:rPr>
        <w:t xml:space="preserve"> </w:t>
      </w:r>
      <w:r w:rsidR="00AF70EB" w:rsidRPr="003A697F">
        <w:rPr>
          <w:b/>
          <w:color w:val="000000" w:themeColor="text1"/>
          <w:sz w:val="26"/>
          <w:szCs w:val="26"/>
        </w:rPr>
        <w:t>décès</w:t>
      </w:r>
      <w:r w:rsidR="003A697F">
        <w:rPr>
          <w:b/>
          <w:color w:val="000000" w:themeColor="text1"/>
          <w:sz w:val="26"/>
          <w:szCs w:val="26"/>
        </w:rPr>
        <w:br/>
      </w:r>
      <w:r w:rsidRPr="003A697F">
        <w:rPr>
          <w:b/>
          <w:color w:val="000000" w:themeColor="text1"/>
          <w:sz w:val="26"/>
          <w:szCs w:val="26"/>
        </w:rPr>
        <w:t>du membre ASSUREQ</w:t>
      </w:r>
    </w:p>
    <w:p w14:paraId="6970B680" w14:textId="77777777" w:rsidR="00781403" w:rsidRPr="002B36CF" w:rsidRDefault="00781403" w:rsidP="00AF70EB">
      <w:pPr>
        <w:ind w:firstLine="708"/>
        <w:jc w:val="center"/>
        <w:rPr>
          <w:rFonts w:asciiTheme="minorHAnsi" w:hAnsiTheme="minorHAnsi"/>
          <w:b/>
          <w:color w:val="000000" w:themeColor="text1"/>
          <w:sz w:val="12"/>
          <w:szCs w:val="12"/>
        </w:rPr>
      </w:pPr>
    </w:p>
    <w:tbl>
      <w:tblPr>
        <w:tblStyle w:val="Grilledutableau"/>
        <w:tblW w:w="0" w:type="auto"/>
        <w:tblLook w:val="04A0" w:firstRow="1" w:lastRow="0" w:firstColumn="1" w:lastColumn="0" w:noHBand="0" w:noVBand="1"/>
      </w:tblPr>
      <w:tblGrid>
        <w:gridCol w:w="3168"/>
        <w:gridCol w:w="2250"/>
        <w:gridCol w:w="2070"/>
        <w:gridCol w:w="2012"/>
      </w:tblGrid>
      <w:tr w:rsidR="00AF70EB" w14:paraId="206A95BC" w14:textId="77777777" w:rsidTr="002F60E8">
        <w:trPr>
          <w:trHeight w:val="728"/>
        </w:trPr>
        <w:tc>
          <w:tcPr>
            <w:tcW w:w="3168" w:type="dxa"/>
            <w:vAlign w:val="center"/>
          </w:tcPr>
          <w:p w14:paraId="24163C12" w14:textId="77777777" w:rsidR="003B14C1" w:rsidRPr="002B36CF" w:rsidRDefault="00AF70EB" w:rsidP="002F60E8">
            <w:pPr>
              <w:autoSpaceDE w:val="0"/>
              <w:autoSpaceDN w:val="0"/>
              <w:adjustRightInd w:val="0"/>
              <w:jc w:val="left"/>
              <w:rPr>
                <w:b/>
                <w:bCs/>
                <w:snapToGrid/>
              </w:rPr>
            </w:pPr>
            <w:r w:rsidRPr="002B36CF">
              <w:rPr>
                <w:b/>
                <w:bCs/>
                <w:snapToGrid/>
              </w:rPr>
              <w:t>Âge au moment du décès</w:t>
            </w:r>
            <w:r w:rsidR="002F60E8">
              <w:rPr>
                <w:b/>
                <w:bCs/>
                <w:snapToGrid/>
              </w:rPr>
              <w:t xml:space="preserve"> </w:t>
            </w:r>
            <w:r w:rsidR="003B14C1" w:rsidRPr="002B36CF">
              <w:rPr>
                <w:b/>
                <w:bCs/>
                <w:snapToGrid/>
              </w:rPr>
              <w:t>du membre ASSUREQ</w:t>
            </w:r>
          </w:p>
        </w:tc>
        <w:tc>
          <w:tcPr>
            <w:tcW w:w="2250" w:type="dxa"/>
            <w:vAlign w:val="center"/>
          </w:tcPr>
          <w:p w14:paraId="040B43C7" w14:textId="77777777" w:rsidR="00AF70EB" w:rsidRPr="002B36CF" w:rsidRDefault="00AF70EB" w:rsidP="00781403">
            <w:pPr>
              <w:autoSpaceDE w:val="0"/>
              <w:autoSpaceDN w:val="0"/>
              <w:adjustRightInd w:val="0"/>
              <w:jc w:val="center"/>
              <w:rPr>
                <w:b/>
                <w:bCs/>
                <w:snapToGrid/>
              </w:rPr>
            </w:pPr>
            <w:r w:rsidRPr="002B36CF">
              <w:rPr>
                <w:b/>
                <w:bCs/>
                <w:snapToGrid/>
              </w:rPr>
              <w:t>Choix 1</w:t>
            </w:r>
          </w:p>
        </w:tc>
        <w:tc>
          <w:tcPr>
            <w:tcW w:w="2070" w:type="dxa"/>
            <w:vAlign w:val="center"/>
          </w:tcPr>
          <w:p w14:paraId="3F33D67A" w14:textId="77777777" w:rsidR="00AF70EB" w:rsidRPr="002B36CF" w:rsidRDefault="00AF70EB" w:rsidP="00781403">
            <w:pPr>
              <w:autoSpaceDE w:val="0"/>
              <w:autoSpaceDN w:val="0"/>
              <w:adjustRightInd w:val="0"/>
              <w:jc w:val="center"/>
              <w:rPr>
                <w:b/>
                <w:bCs/>
                <w:snapToGrid/>
              </w:rPr>
            </w:pPr>
            <w:r w:rsidRPr="002B36CF">
              <w:rPr>
                <w:b/>
                <w:bCs/>
                <w:snapToGrid/>
              </w:rPr>
              <w:t>Choix 2</w:t>
            </w:r>
          </w:p>
        </w:tc>
        <w:tc>
          <w:tcPr>
            <w:tcW w:w="2012" w:type="dxa"/>
            <w:vAlign w:val="center"/>
          </w:tcPr>
          <w:p w14:paraId="42B7CE1A" w14:textId="77777777" w:rsidR="00AF70EB" w:rsidRPr="002B36CF" w:rsidRDefault="00AF70EB" w:rsidP="00781403">
            <w:pPr>
              <w:autoSpaceDE w:val="0"/>
              <w:autoSpaceDN w:val="0"/>
              <w:adjustRightInd w:val="0"/>
              <w:jc w:val="center"/>
              <w:rPr>
                <w:b/>
                <w:bCs/>
                <w:snapToGrid/>
              </w:rPr>
            </w:pPr>
            <w:r w:rsidRPr="002B36CF">
              <w:rPr>
                <w:b/>
                <w:bCs/>
                <w:snapToGrid/>
              </w:rPr>
              <w:t>Choix 3</w:t>
            </w:r>
          </w:p>
        </w:tc>
      </w:tr>
      <w:tr w:rsidR="00AF70EB" w14:paraId="58AD5706" w14:textId="77777777" w:rsidTr="002F60E8">
        <w:trPr>
          <w:trHeight w:val="504"/>
        </w:trPr>
        <w:tc>
          <w:tcPr>
            <w:tcW w:w="3168" w:type="dxa"/>
            <w:vAlign w:val="center"/>
          </w:tcPr>
          <w:p w14:paraId="33FF226B" w14:textId="77777777" w:rsidR="00AF70EB" w:rsidRPr="002B36CF" w:rsidRDefault="00AF70EB" w:rsidP="00781403">
            <w:pPr>
              <w:autoSpaceDE w:val="0"/>
              <w:autoSpaceDN w:val="0"/>
              <w:adjustRightInd w:val="0"/>
              <w:jc w:val="center"/>
              <w:rPr>
                <w:b/>
                <w:bCs/>
                <w:snapToGrid/>
              </w:rPr>
            </w:pPr>
            <w:r w:rsidRPr="002B36CF">
              <w:rPr>
                <w:snapToGrid/>
              </w:rPr>
              <w:t>Moins de 60 ans</w:t>
            </w:r>
          </w:p>
        </w:tc>
        <w:tc>
          <w:tcPr>
            <w:tcW w:w="2250" w:type="dxa"/>
            <w:vAlign w:val="center"/>
          </w:tcPr>
          <w:p w14:paraId="5DD82388" w14:textId="77777777" w:rsidR="00AF70EB" w:rsidRPr="002B36CF" w:rsidRDefault="00AF70EB" w:rsidP="00781403">
            <w:pPr>
              <w:autoSpaceDE w:val="0"/>
              <w:autoSpaceDN w:val="0"/>
              <w:adjustRightInd w:val="0"/>
              <w:jc w:val="center"/>
              <w:rPr>
                <w:b/>
                <w:bCs/>
                <w:snapToGrid/>
              </w:rPr>
            </w:pPr>
            <w:r w:rsidRPr="002B36CF">
              <w:rPr>
                <w:snapToGrid/>
              </w:rPr>
              <w:t>20 000 $</w:t>
            </w:r>
          </w:p>
        </w:tc>
        <w:tc>
          <w:tcPr>
            <w:tcW w:w="2070" w:type="dxa"/>
            <w:vAlign w:val="center"/>
          </w:tcPr>
          <w:p w14:paraId="47D80F3E" w14:textId="77777777" w:rsidR="00AF70EB" w:rsidRPr="002B36CF" w:rsidRDefault="00AF70EB" w:rsidP="00781403">
            <w:pPr>
              <w:autoSpaceDE w:val="0"/>
              <w:autoSpaceDN w:val="0"/>
              <w:adjustRightInd w:val="0"/>
              <w:jc w:val="center"/>
              <w:rPr>
                <w:b/>
                <w:bCs/>
                <w:snapToGrid/>
              </w:rPr>
            </w:pPr>
            <w:r w:rsidRPr="002B36CF">
              <w:rPr>
                <w:snapToGrid/>
              </w:rPr>
              <w:t>40 000 $</w:t>
            </w:r>
          </w:p>
        </w:tc>
        <w:tc>
          <w:tcPr>
            <w:tcW w:w="2012" w:type="dxa"/>
            <w:vAlign w:val="center"/>
          </w:tcPr>
          <w:p w14:paraId="46CD9A82" w14:textId="77777777" w:rsidR="00AF70EB" w:rsidRPr="002B36CF" w:rsidRDefault="00AF70EB" w:rsidP="00781403">
            <w:pPr>
              <w:autoSpaceDE w:val="0"/>
              <w:autoSpaceDN w:val="0"/>
              <w:adjustRightInd w:val="0"/>
              <w:jc w:val="center"/>
              <w:rPr>
                <w:b/>
                <w:bCs/>
                <w:snapToGrid/>
              </w:rPr>
            </w:pPr>
            <w:r w:rsidRPr="002B36CF">
              <w:rPr>
                <w:snapToGrid/>
              </w:rPr>
              <w:t>60 000 $</w:t>
            </w:r>
          </w:p>
        </w:tc>
      </w:tr>
      <w:tr w:rsidR="00AF70EB" w14:paraId="119DC6B0" w14:textId="77777777" w:rsidTr="002F60E8">
        <w:trPr>
          <w:trHeight w:val="504"/>
        </w:trPr>
        <w:tc>
          <w:tcPr>
            <w:tcW w:w="3168" w:type="dxa"/>
            <w:vAlign w:val="center"/>
          </w:tcPr>
          <w:p w14:paraId="0CF06D4E" w14:textId="77777777" w:rsidR="00AF70EB" w:rsidRPr="002B36CF" w:rsidRDefault="00AF70EB" w:rsidP="00781403">
            <w:pPr>
              <w:autoSpaceDE w:val="0"/>
              <w:autoSpaceDN w:val="0"/>
              <w:adjustRightInd w:val="0"/>
              <w:jc w:val="center"/>
              <w:rPr>
                <w:b/>
                <w:bCs/>
                <w:snapToGrid/>
              </w:rPr>
            </w:pPr>
            <w:r w:rsidRPr="002B36CF">
              <w:rPr>
                <w:snapToGrid/>
              </w:rPr>
              <w:t>De 60 à 64 ans</w:t>
            </w:r>
          </w:p>
        </w:tc>
        <w:tc>
          <w:tcPr>
            <w:tcW w:w="2250" w:type="dxa"/>
            <w:vAlign w:val="center"/>
          </w:tcPr>
          <w:p w14:paraId="7E9E00EE" w14:textId="77777777" w:rsidR="00AF70EB" w:rsidRPr="002B36CF" w:rsidRDefault="00AF70EB" w:rsidP="00781403">
            <w:pPr>
              <w:autoSpaceDE w:val="0"/>
              <w:autoSpaceDN w:val="0"/>
              <w:adjustRightInd w:val="0"/>
              <w:jc w:val="center"/>
              <w:rPr>
                <w:b/>
                <w:bCs/>
                <w:snapToGrid/>
              </w:rPr>
            </w:pPr>
            <w:r w:rsidRPr="002B36CF">
              <w:rPr>
                <w:snapToGrid/>
              </w:rPr>
              <w:t>15 000 $</w:t>
            </w:r>
          </w:p>
        </w:tc>
        <w:tc>
          <w:tcPr>
            <w:tcW w:w="2070" w:type="dxa"/>
            <w:vAlign w:val="center"/>
          </w:tcPr>
          <w:p w14:paraId="0E96A220" w14:textId="77777777" w:rsidR="00AF70EB" w:rsidRPr="002B36CF" w:rsidRDefault="00AF70EB" w:rsidP="00781403">
            <w:pPr>
              <w:autoSpaceDE w:val="0"/>
              <w:autoSpaceDN w:val="0"/>
              <w:adjustRightInd w:val="0"/>
              <w:jc w:val="center"/>
              <w:rPr>
                <w:b/>
                <w:bCs/>
                <w:snapToGrid/>
              </w:rPr>
            </w:pPr>
            <w:r w:rsidRPr="002B36CF">
              <w:rPr>
                <w:snapToGrid/>
              </w:rPr>
              <w:t>30 000 $</w:t>
            </w:r>
          </w:p>
        </w:tc>
        <w:tc>
          <w:tcPr>
            <w:tcW w:w="2012" w:type="dxa"/>
            <w:vAlign w:val="center"/>
          </w:tcPr>
          <w:p w14:paraId="43D65C3F" w14:textId="77777777" w:rsidR="00AF70EB" w:rsidRPr="002B36CF" w:rsidRDefault="00AF70EB" w:rsidP="00781403">
            <w:pPr>
              <w:autoSpaceDE w:val="0"/>
              <w:autoSpaceDN w:val="0"/>
              <w:adjustRightInd w:val="0"/>
              <w:jc w:val="center"/>
              <w:rPr>
                <w:b/>
                <w:bCs/>
                <w:snapToGrid/>
              </w:rPr>
            </w:pPr>
            <w:r w:rsidRPr="002B36CF">
              <w:rPr>
                <w:snapToGrid/>
              </w:rPr>
              <w:t>45 000 $</w:t>
            </w:r>
          </w:p>
        </w:tc>
      </w:tr>
      <w:tr w:rsidR="00AF70EB" w14:paraId="28106246" w14:textId="77777777" w:rsidTr="002F60E8">
        <w:trPr>
          <w:trHeight w:val="504"/>
        </w:trPr>
        <w:tc>
          <w:tcPr>
            <w:tcW w:w="3168" w:type="dxa"/>
            <w:vAlign w:val="center"/>
          </w:tcPr>
          <w:p w14:paraId="6CDC13B1" w14:textId="77777777" w:rsidR="00AF70EB" w:rsidRPr="002B36CF" w:rsidRDefault="00AF70EB" w:rsidP="00781403">
            <w:pPr>
              <w:autoSpaceDE w:val="0"/>
              <w:autoSpaceDN w:val="0"/>
              <w:adjustRightInd w:val="0"/>
              <w:jc w:val="center"/>
              <w:rPr>
                <w:b/>
                <w:bCs/>
                <w:snapToGrid/>
              </w:rPr>
            </w:pPr>
            <w:r w:rsidRPr="002B36CF">
              <w:rPr>
                <w:snapToGrid/>
              </w:rPr>
              <w:t>65 ans ou plus</w:t>
            </w:r>
          </w:p>
        </w:tc>
        <w:tc>
          <w:tcPr>
            <w:tcW w:w="2250" w:type="dxa"/>
            <w:vAlign w:val="center"/>
          </w:tcPr>
          <w:p w14:paraId="51EC71A0" w14:textId="77777777" w:rsidR="00AF70EB" w:rsidRPr="002B36CF" w:rsidRDefault="00AF70EB" w:rsidP="00781403">
            <w:pPr>
              <w:autoSpaceDE w:val="0"/>
              <w:autoSpaceDN w:val="0"/>
              <w:adjustRightInd w:val="0"/>
              <w:jc w:val="center"/>
              <w:rPr>
                <w:b/>
                <w:bCs/>
                <w:snapToGrid/>
              </w:rPr>
            </w:pPr>
            <w:r w:rsidRPr="002B36CF">
              <w:rPr>
                <w:snapToGrid/>
              </w:rPr>
              <w:t>10 000 $</w:t>
            </w:r>
          </w:p>
        </w:tc>
        <w:tc>
          <w:tcPr>
            <w:tcW w:w="2070" w:type="dxa"/>
            <w:vAlign w:val="center"/>
          </w:tcPr>
          <w:p w14:paraId="76CFD86B" w14:textId="77777777" w:rsidR="00AF70EB" w:rsidRPr="002B36CF" w:rsidRDefault="00AF70EB" w:rsidP="00781403">
            <w:pPr>
              <w:autoSpaceDE w:val="0"/>
              <w:autoSpaceDN w:val="0"/>
              <w:adjustRightInd w:val="0"/>
              <w:jc w:val="center"/>
              <w:rPr>
                <w:b/>
                <w:bCs/>
                <w:snapToGrid/>
              </w:rPr>
            </w:pPr>
            <w:r w:rsidRPr="002B36CF">
              <w:rPr>
                <w:snapToGrid/>
              </w:rPr>
              <w:t>20 000 $</w:t>
            </w:r>
          </w:p>
        </w:tc>
        <w:tc>
          <w:tcPr>
            <w:tcW w:w="2012" w:type="dxa"/>
            <w:vAlign w:val="center"/>
          </w:tcPr>
          <w:p w14:paraId="1EAE8426" w14:textId="77777777" w:rsidR="00AF70EB" w:rsidRPr="002B36CF" w:rsidRDefault="00AF70EB" w:rsidP="00781403">
            <w:pPr>
              <w:jc w:val="center"/>
              <w:rPr>
                <w:b/>
                <w:bCs/>
                <w:snapToGrid/>
              </w:rPr>
            </w:pPr>
            <w:r w:rsidRPr="002B36CF">
              <w:rPr>
                <w:snapToGrid/>
              </w:rPr>
              <w:t>30 000 $</w:t>
            </w:r>
          </w:p>
        </w:tc>
      </w:tr>
    </w:tbl>
    <w:p w14:paraId="1796E150" w14:textId="77777777" w:rsidR="00AF70EB" w:rsidRPr="006A3A8D" w:rsidRDefault="00AF70EB" w:rsidP="00AF70EB">
      <w:pPr>
        <w:autoSpaceDE w:val="0"/>
        <w:autoSpaceDN w:val="0"/>
        <w:adjustRightInd w:val="0"/>
        <w:jc w:val="left"/>
        <w:rPr>
          <w:b/>
          <w:bCs/>
          <w:snapToGrid/>
          <w:sz w:val="28"/>
          <w:szCs w:val="28"/>
        </w:rPr>
      </w:pPr>
    </w:p>
    <w:p w14:paraId="124E714A" w14:textId="77777777" w:rsidR="00BB2E66" w:rsidRPr="000875DC" w:rsidRDefault="00BB2E66" w:rsidP="005C26F8">
      <w:pPr>
        <w:rPr>
          <w:color w:val="000000" w:themeColor="text1"/>
          <w:sz w:val="28"/>
          <w:szCs w:val="28"/>
        </w:rPr>
      </w:pPr>
      <w:r w:rsidRPr="000875DC">
        <w:rPr>
          <w:b/>
          <w:color w:val="000000" w:themeColor="text1"/>
          <w:sz w:val="28"/>
          <w:szCs w:val="28"/>
        </w:rPr>
        <w:t>Coordonnées utiles </w:t>
      </w:r>
    </w:p>
    <w:p w14:paraId="665CD256" w14:textId="77777777" w:rsidR="00BB2E66" w:rsidRPr="002F60E8" w:rsidRDefault="00BB2E66" w:rsidP="00BB2E66">
      <w:pPr>
        <w:jc w:val="left"/>
        <w:rPr>
          <w:b/>
          <w:color w:val="000000" w:themeColor="text1"/>
        </w:rPr>
      </w:pPr>
    </w:p>
    <w:p w14:paraId="11FE1EC3" w14:textId="77777777" w:rsidR="00BB2E66" w:rsidRPr="002F60E8" w:rsidRDefault="00BB2E66" w:rsidP="00BB2E66">
      <w:pPr>
        <w:spacing w:line="270" w:lineRule="atLeast"/>
        <w:jc w:val="left"/>
        <w:rPr>
          <w:b/>
          <w:snapToGrid/>
          <w:color w:val="2E2E2E"/>
          <w:lang w:val="fr-FR"/>
        </w:rPr>
      </w:pPr>
      <w:r w:rsidRPr="002F60E8">
        <w:rPr>
          <w:b/>
          <w:snapToGrid/>
          <w:color w:val="2E2E2E"/>
          <w:lang w:val="fr-FR"/>
        </w:rPr>
        <w:t>AREQ (CSQ), Association des retraitées et retraités de l’éducation et des autres services publics du Québec</w:t>
      </w:r>
    </w:p>
    <w:p w14:paraId="5CEED96F" w14:textId="77777777" w:rsidR="00BB2E66" w:rsidRPr="002F60E8" w:rsidRDefault="00BB2E66" w:rsidP="00BB2E66">
      <w:pPr>
        <w:spacing w:line="270" w:lineRule="atLeast"/>
        <w:jc w:val="left"/>
        <w:rPr>
          <w:snapToGrid/>
          <w:color w:val="2E2E2E"/>
          <w:lang w:val="fr-FR"/>
        </w:rPr>
      </w:pPr>
      <w:r w:rsidRPr="002F60E8">
        <w:rPr>
          <w:snapToGrid/>
          <w:color w:val="2E2E2E"/>
          <w:lang w:val="fr-FR"/>
        </w:rPr>
        <w:t>320, rue St-Joseph Est, bureau 100</w:t>
      </w:r>
    </w:p>
    <w:p w14:paraId="521852D0" w14:textId="77777777" w:rsidR="00BB2E66" w:rsidRPr="002F60E8" w:rsidRDefault="00BB2E66" w:rsidP="00C962D3">
      <w:pPr>
        <w:spacing w:after="120" w:line="270" w:lineRule="atLeast"/>
        <w:jc w:val="left"/>
        <w:rPr>
          <w:snapToGrid/>
          <w:color w:val="2E2E2E"/>
          <w:lang w:val="fr-FR"/>
        </w:rPr>
      </w:pPr>
      <w:r w:rsidRPr="002F60E8">
        <w:rPr>
          <w:snapToGrid/>
          <w:color w:val="2E2E2E"/>
          <w:lang w:val="fr-FR"/>
        </w:rPr>
        <w:t>Québec (Québec) G1K 9E7</w:t>
      </w:r>
    </w:p>
    <w:p w14:paraId="0A2DC717" w14:textId="77777777" w:rsidR="00BB2E66" w:rsidRPr="002F60E8" w:rsidRDefault="00BB2E66" w:rsidP="00C962D3">
      <w:pPr>
        <w:spacing w:line="270" w:lineRule="atLeast"/>
        <w:jc w:val="left"/>
        <w:rPr>
          <w:snapToGrid/>
          <w:color w:val="2E2E2E"/>
          <w:lang w:val="fr-FR"/>
        </w:rPr>
      </w:pPr>
      <w:r w:rsidRPr="002F60E8">
        <w:rPr>
          <w:snapToGrid/>
          <w:color w:val="2E2E2E"/>
          <w:lang w:val="fr-FR"/>
        </w:rPr>
        <w:t>Téléphone : 418 525-0611</w:t>
      </w:r>
    </w:p>
    <w:p w14:paraId="193B6273" w14:textId="77777777" w:rsidR="00BB2E66" w:rsidRPr="002F60E8" w:rsidRDefault="00BB2E66" w:rsidP="00C962D3">
      <w:pPr>
        <w:spacing w:line="270" w:lineRule="atLeast"/>
        <w:jc w:val="left"/>
        <w:rPr>
          <w:snapToGrid/>
          <w:color w:val="2E2E2E"/>
          <w:lang w:val="fr-FR"/>
        </w:rPr>
      </w:pPr>
      <w:r w:rsidRPr="002F60E8">
        <w:rPr>
          <w:snapToGrid/>
          <w:color w:val="2E2E2E"/>
          <w:lang w:val="fr-FR"/>
        </w:rPr>
        <w:t>Sans frais : 1 800 663-2408</w:t>
      </w:r>
    </w:p>
    <w:p w14:paraId="163C85E2" w14:textId="77777777" w:rsidR="00BB2E66" w:rsidRPr="002F60E8" w:rsidRDefault="00BB2E66" w:rsidP="00C962D3">
      <w:pPr>
        <w:spacing w:line="270" w:lineRule="atLeast"/>
        <w:jc w:val="left"/>
        <w:rPr>
          <w:snapToGrid/>
          <w:color w:val="2E2E2E"/>
          <w:lang w:val="fr-FR"/>
        </w:rPr>
      </w:pPr>
      <w:r w:rsidRPr="002F60E8">
        <w:rPr>
          <w:snapToGrid/>
          <w:color w:val="2E2E2E"/>
          <w:lang w:val="fr-FR"/>
        </w:rPr>
        <w:t xml:space="preserve">Site internet : </w:t>
      </w:r>
      <w:hyperlink r:id="rId16" w:history="1">
        <w:r w:rsidR="00685171" w:rsidRPr="002F60E8">
          <w:rPr>
            <w:rStyle w:val="Lienhypertexte"/>
            <w:snapToGrid/>
            <w:lang w:val="fr-FR"/>
          </w:rPr>
          <w:t>www.areq.qc.net</w:t>
        </w:r>
      </w:hyperlink>
    </w:p>
    <w:p w14:paraId="2AE8FA1B" w14:textId="77777777" w:rsidR="00BB2E66" w:rsidRPr="006A3A8D" w:rsidRDefault="00BB2E66" w:rsidP="00BB2E66">
      <w:pPr>
        <w:spacing w:line="270" w:lineRule="atLeast"/>
        <w:jc w:val="left"/>
        <w:rPr>
          <w:snapToGrid/>
          <w:sz w:val="28"/>
          <w:szCs w:val="28"/>
          <w:u w:val="single"/>
          <w:lang w:val="fr-FR"/>
        </w:rPr>
      </w:pPr>
    </w:p>
    <w:p w14:paraId="46CFB0D4" w14:textId="77777777" w:rsidR="00C962D3" w:rsidRPr="002F60E8" w:rsidRDefault="00BB2E66" w:rsidP="00C962D3">
      <w:pPr>
        <w:spacing w:after="120" w:line="270" w:lineRule="atLeast"/>
        <w:jc w:val="left"/>
        <w:rPr>
          <w:snapToGrid/>
          <w:color w:val="2E2E2E"/>
          <w:lang w:val="fr-FR"/>
        </w:rPr>
      </w:pPr>
      <w:r w:rsidRPr="002F60E8">
        <w:rPr>
          <w:b/>
          <w:bCs/>
          <w:snapToGrid/>
          <w:color w:val="2E2E2E"/>
          <w:lang w:val="fr-FR"/>
        </w:rPr>
        <w:t xml:space="preserve">SSQ, Société d’assurance-vie </w:t>
      </w:r>
      <w:proofErr w:type="spellStart"/>
      <w:r w:rsidRPr="002F60E8">
        <w:rPr>
          <w:b/>
          <w:bCs/>
          <w:snapToGrid/>
          <w:color w:val="2E2E2E"/>
          <w:lang w:val="fr-FR"/>
        </w:rPr>
        <w:t>inc</w:t>
      </w:r>
      <w:proofErr w:type="gramStart"/>
      <w:r w:rsidRPr="002F60E8">
        <w:rPr>
          <w:b/>
          <w:bCs/>
          <w:snapToGrid/>
          <w:color w:val="2E2E2E"/>
          <w:lang w:val="fr-FR"/>
        </w:rPr>
        <w:t>.</w:t>
      </w:r>
      <w:proofErr w:type="spellEnd"/>
      <w:proofErr w:type="gramEnd"/>
      <w:r w:rsidRPr="002F60E8">
        <w:rPr>
          <w:snapToGrid/>
          <w:color w:val="2E2E2E"/>
          <w:lang w:val="fr-FR"/>
        </w:rPr>
        <w:br/>
        <w:t>2525, boulevard Laurier</w:t>
      </w:r>
      <w:r w:rsidRPr="002F60E8">
        <w:rPr>
          <w:snapToGrid/>
          <w:color w:val="2E2E2E"/>
          <w:lang w:val="fr-FR"/>
        </w:rPr>
        <w:br/>
        <w:t>C.P. 10500, succursale Sainte-Foy</w:t>
      </w:r>
      <w:r w:rsidRPr="002F60E8">
        <w:rPr>
          <w:snapToGrid/>
          <w:color w:val="2E2E2E"/>
          <w:lang w:val="fr-FR"/>
        </w:rPr>
        <w:br/>
        <w:t>Québec (Québec)  G1V 4H6</w:t>
      </w:r>
    </w:p>
    <w:p w14:paraId="28BF98BF" w14:textId="77777777" w:rsidR="00C962D3" w:rsidRPr="002F60E8" w:rsidRDefault="00BB2E66" w:rsidP="00BB2E66">
      <w:pPr>
        <w:spacing w:line="270" w:lineRule="atLeast"/>
        <w:jc w:val="left"/>
        <w:rPr>
          <w:snapToGrid/>
          <w:color w:val="2E2E2E"/>
          <w:lang w:val="fr-FR"/>
        </w:rPr>
      </w:pPr>
      <w:r w:rsidRPr="002F60E8">
        <w:rPr>
          <w:snapToGrid/>
          <w:color w:val="2E2E2E"/>
          <w:lang w:val="fr-FR"/>
        </w:rPr>
        <w:t>Téléphone : 418 651-6962</w:t>
      </w:r>
    </w:p>
    <w:p w14:paraId="5953A828" w14:textId="77777777" w:rsidR="00C962D3" w:rsidRPr="002F60E8" w:rsidRDefault="00BB2E66" w:rsidP="00BB2E66">
      <w:pPr>
        <w:spacing w:line="270" w:lineRule="atLeast"/>
        <w:jc w:val="left"/>
        <w:rPr>
          <w:snapToGrid/>
          <w:color w:val="2E2E2E"/>
          <w:lang w:val="fr-FR"/>
        </w:rPr>
      </w:pPr>
      <w:r w:rsidRPr="002F60E8">
        <w:rPr>
          <w:snapToGrid/>
          <w:color w:val="2E2E2E"/>
          <w:lang w:val="fr-FR"/>
        </w:rPr>
        <w:t>Sans frais : 1 888 833-6962</w:t>
      </w:r>
    </w:p>
    <w:p w14:paraId="7966FF63" w14:textId="77777777" w:rsidR="00BB2E66" w:rsidRPr="002F60E8" w:rsidRDefault="00BB2E66" w:rsidP="00BB2E66">
      <w:pPr>
        <w:spacing w:line="270" w:lineRule="atLeast"/>
        <w:jc w:val="left"/>
        <w:rPr>
          <w:snapToGrid/>
          <w:color w:val="2E2E2E"/>
          <w:lang w:val="fr-FR"/>
        </w:rPr>
      </w:pPr>
      <w:r w:rsidRPr="002F60E8">
        <w:rPr>
          <w:snapToGrid/>
          <w:color w:val="2E2E2E"/>
          <w:lang w:val="fr-FR"/>
        </w:rPr>
        <w:t xml:space="preserve">Site Internet : </w:t>
      </w:r>
      <w:hyperlink r:id="rId17" w:history="1">
        <w:r w:rsidRPr="002F60E8">
          <w:rPr>
            <w:rStyle w:val="Lienhypertexte"/>
            <w:snapToGrid/>
            <w:lang w:val="fr-FR"/>
          </w:rPr>
          <w:t>www.ssq.ca</w:t>
        </w:r>
      </w:hyperlink>
    </w:p>
    <w:p w14:paraId="7F6078A4" w14:textId="77777777" w:rsidR="009C6632" w:rsidRPr="002F60E8" w:rsidRDefault="009C6632" w:rsidP="00BB2E66">
      <w:pPr>
        <w:spacing w:line="270" w:lineRule="atLeast"/>
        <w:jc w:val="left"/>
        <w:rPr>
          <w:snapToGrid/>
          <w:color w:val="2E2E2E"/>
          <w:lang w:val="fr-FR"/>
        </w:rPr>
      </w:pPr>
    </w:p>
    <w:p w14:paraId="33011933" w14:textId="77777777" w:rsidR="009C6632" w:rsidRPr="002F60E8" w:rsidRDefault="009C6632" w:rsidP="00BB2E66">
      <w:pPr>
        <w:spacing w:line="270" w:lineRule="atLeast"/>
        <w:jc w:val="left"/>
        <w:rPr>
          <w:snapToGrid/>
          <w:color w:val="2E2E2E"/>
          <w:lang w:val="fr-FR"/>
        </w:rPr>
      </w:pPr>
    </w:p>
    <w:p w14:paraId="71980E1C" w14:textId="77777777" w:rsidR="007675B3" w:rsidRDefault="00BB2E66" w:rsidP="002F60E8">
      <w:pPr>
        <w:rPr>
          <w:b/>
          <w:color w:val="000000" w:themeColor="text1"/>
        </w:rPr>
      </w:pPr>
      <w:r w:rsidRPr="002F60E8">
        <w:rPr>
          <w:b/>
          <w:color w:val="000000" w:themeColor="text1"/>
        </w:rPr>
        <w:t>Veuillez noter que ce document est distribué à titre de renseignement seulement et ne remplace pas les dispositions prévues au contrat d’assurance collective ASSUREQ. Il est fortement conseillé de communiquer avec l’AREQ ou avec SSQ pour toutes questions relatives au décès d’un membre ASSUREQ avant de prendre une décision.</w:t>
      </w:r>
    </w:p>
    <w:p w14:paraId="716231BE" w14:textId="77777777" w:rsidR="007675B3" w:rsidRDefault="007675B3" w:rsidP="002F60E8">
      <w:pPr>
        <w:rPr>
          <w:b/>
          <w:color w:val="000000" w:themeColor="text1"/>
        </w:rPr>
        <w:sectPr w:rsidR="007675B3" w:rsidSect="000875DC">
          <w:footerReference w:type="default" r:id="rId18"/>
          <w:pgSz w:w="12240" w:h="15840" w:code="1"/>
          <w:pgMar w:top="1260" w:right="1440" w:bottom="1350" w:left="1440" w:header="706" w:footer="706" w:gutter="0"/>
          <w:cols w:space="720"/>
          <w:noEndnote/>
          <w:titlePg/>
        </w:sectPr>
      </w:pPr>
    </w:p>
    <w:p w14:paraId="5F1B43AD" w14:textId="77777777" w:rsidR="007675B3" w:rsidRDefault="007675B3" w:rsidP="007675B3">
      <w:pPr>
        <w:jc w:val="left"/>
        <w:rPr>
          <w:b/>
          <w:sz w:val="28"/>
          <w:szCs w:val="28"/>
        </w:rPr>
      </w:pPr>
      <w:r>
        <w:rPr>
          <w:noProof/>
          <w:snapToGrid/>
        </w:rPr>
        <w:lastRenderedPageBreak/>
        <w:drawing>
          <wp:inline distT="0" distB="0" distL="0" distR="0" wp14:anchorId="26A9D925" wp14:editId="5CFC151D">
            <wp:extent cx="1509395" cy="594995"/>
            <wp:effectExtent l="0" t="0" r="0" b="0"/>
            <wp:docPr id="2" name="Image 2" descr="Logo AREQ court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EQ court Noi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9395" cy="594995"/>
                    </a:xfrm>
                    <a:prstGeom prst="rect">
                      <a:avLst/>
                    </a:prstGeom>
                    <a:noFill/>
                    <a:ln>
                      <a:noFill/>
                    </a:ln>
                  </pic:spPr>
                </pic:pic>
              </a:graphicData>
            </a:graphic>
          </wp:inline>
        </w:drawing>
      </w:r>
    </w:p>
    <w:p w14:paraId="34003537" w14:textId="77777777" w:rsidR="00BB2E66" w:rsidRPr="002F60E8" w:rsidRDefault="00BB2E66" w:rsidP="007675B3">
      <w:pPr>
        <w:jc w:val="center"/>
        <w:rPr>
          <w:color w:val="808080" w:themeColor="background1" w:themeShade="80"/>
          <w:sz w:val="16"/>
          <w:szCs w:val="16"/>
        </w:rPr>
      </w:pPr>
      <w:r w:rsidRPr="002F60E8">
        <w:rPr>
          <w:b/>
          <w:sz w:val="28"/>
          <w:szCs w:val="28"/>
        </w:rPr>
        <w:t>ASSUREQ</w:t>
      </w:r>
    </w:p>
    <w:p w14:paraId="07065201" w14:textId="77777777" w:rsidR="00BB2E66" w:rsidRPr="002F60E8" w:rsidRDefault="00BB2E66" w:rsidP="00BB2E66">
      <w:pPr>
        <w:jc w:val="center"/>
        <w:rPr>
          <w:b/>
          <w:sz w:val="28"/>
          <w:szCs w:val="28"/>
        </w:rPr>
      </w:pPr>
    </w:p>
    <w:p w14:paraId="1884ADBB" w14:textId="77777777" w:rsidR="00BB2E66" w:rsidRPr="002F60E8" w:rsidRDefault="00BB2E66" w:rsidP="00C962D3">
      <w:pPr>
        <w:rPr>
          <w:b/>
          <w:sz w:val="28"/>
          <w:szCs w:val="28"/>
        </w:rPr>
      </w:pPr>
      <w:r w:rsidRPr="002F60E8">
        <w:rPr>
          <w:b/>
          <w:sz w:val="28"/>
          <w:szCs w:val="28"/>
        </w:rPr>
        <w:t>Aide-mémoire pour le mem</w:t>
      </w:r>
      <w:r w:rsidR="005C26F8" w:rsidRPr="002F60E8">
        <w:rPr>
          <w:b/>
          <w:sz w:val="28"/>
          <w:szCs w:val="28"/>
        </w:rPr>
        <w:t xml:space="preserve">bre ASSUREQ en cas de décès d’une personne à charge (personne conjointe ou enfant à charge) </w:t>
      </w:r>
    </w:p>
    <w:p w14:paraId="3509AFB5" w14:textId="77777777" w:rsidR="005C26F8" w:rsidRDefault="005C26F8" w:rsidP="00184632">
      <w:pPr>
        <w:rPr>
          <w:rFonts w:asciiTheme="minorHAnsi" w:hAnsiTheme="minorHAnsi"/>
          <w:b/>
          <w:sz w:val="28"/>
          <w:szCs w:val="28"/>
        </w:rPr>
      </w:pPr>
    </w:p>
    <w:p w14:paraId="6ABF8E96" w14:textId="77777777" w:rsidR="000875DC" w:rsidRPr="000875DC" w:rsidRDefault="000875DC" w:rsidP="006A3A8D">
      <w:pPr>
        <w:pBdr>
          <w:top w:val="single" w:sz="4" w:space="1" w:color="auto"/>
          <w:left w:val="single" w:sz="4" w:space="4" w:color="auto"/>
          <w:bottom w:val="single" w:sz="4" w:space="5" w:color="auto"/>
          <w:right w:val="single" w:sz="4" w:space="4" w:color="auto"/>
        </w:pBdr>
        <w:rPr>
          <w:color w:val="000000" w:themeColor="text1"/>
          <w:sz w:val="12"/>
          <w:szCs w:val="12"/>
        </w:rPr>
      </w:pPr>
    </w:p>
    <w:p w14:paraId="4FA68540" w14:textId="77777777" w:rsidR="00C962D3" w:rsidRPr="002F60E8" w:rsidRDefault="005C26F8" w:rsidP="003A697F">
      <w:pPr>
        <w:pBdr>
          <w:top w:val="single" w:sz="4" w:space="1" w:color="auto"/>
          <w:left w:val="single" w:sz="4" w:space="4" w:color="auto"/>
          <w:bottom w:val="single" w:sz="4" w:space="5" w:color="auto"/>
          <w:right w:val="single" w:sz="4" w:space="4" w:color="auto"/>
        </w:pBdr>
        <w:spacing w:after="120"/>
        <w:rPr>
          <w:color w:val="000000" w:themeColor="text1"/>
        </w:rPr>
      </w:pPr>
      <w:r w:rsidRPr="002F60E8">
        <w:rPr>
          <w:color w:val="000000" w:themeColor="text1"/>
        </w:rPr>
        <w:t>Ce document s’adresse au membre ASSUREQ en cas de décès d’une personne à charge et consiste en un aide-mémoire des démarches à effectuer auprès de l’assureur SSQ concernant le</w:t>
      </w:r>
      <w:r w:rsidRPr="002F60E8">
        <w:rPr>
          <w:b/>
          <w:color w:val="000000" w:themeColor="text1"/>
        </w:rPr>
        <w:t xml:space="preserve"> régime d’assurance collective ASSUREQ</w:t>
      </w:r>
      <w:r w:rsidRPr="002F60E8">
        <w:rPr>
          <w:color w:val="000000" w:themeColor="text1"/>
        </w:rPr>
        <w:t xml:space="preserve">. </w:t>
      </w:r>
    </w:p>
    <w:p w14:paraId="7BD89EEE" w14:textId="77777777" w:rsidR="005C26F8" w:rsidRPr="002F60E8" w:rsidRDefault="005C26F8" w:rsidP="006A3A8D">
      <w:pPr>
        <w:pBdr>
          <w:top w:val="single" w:sz="4" w:space="1" w:color="auto"/>
          <w:left w:val="single" w:sz="4" w:space="4" w:color="auto"/>
          <w:bottom w:val="single" w:sz="4" w:space="5" w:color="auto"/>
          <w:right w:val="single" w:sz="4" w:space="4" w:color="auto"/>
        </w:pBdr>
        <w:rPr>
          <w:color w:val="000000" w:themeColor="text1"/>
        </w:rPr>
      </w:pPr>
      <w:r w:rsidRPr="002F60E8">
        <w:rPr>
          <w:color w:val="000000" w:themeColor="text1"/>
        </w:rPr>
        <w:t>Pour connaître l’ensemble des démarches à faire auprès des ministères et organismes gouvernementaux, nous vous</w:t>
      </w:r>
      <w:r w:rsidR="003B14C1" w:rsidRPr="002F60E8">
        <w:rPr>
          <w:color w:val="000000" w:themeColor="text1"/>
        </w:rPr>
        <w:t xml:space="preserve"> suggérons de consulter le site</w:t>
      </w:r>
      <w:r w:rsidRPr="002F60E8">
        <w:rPr>
          <w:color w:val="000000" w:themeColor="text1"/>
        </w:rPr>
        <w:t xml:space="preserve"> </w:t>
      </w:r>
      <w:r w:rsidR="00A7041A" w:rsidRPr="002F60E8">
        <w:rPr>
          <w:color w:val="000000" w:themeColor="text1"/>
        </w:rPr>
        <w:t xml:space="preserve">Internet </w:t>
      </w:r>
      <w:r w:rsidRPr="002F60E8">
        <w:rPr>
          <w:color w:val="000000" w:themeColor="text1"/>
        </w:rPr>
        <w:t xml:space="preserve">de Services Québec-citoyens, </w:t>
      </w:r>
      <w:r w:rsidRPr="002F60E8">
        <w:rPr>
          <w:i/>
          <w:color w:val="000000" w:themeColor="text1"/>
        </w:rPr>
        <w:t>Que faire en cas de décès</w:t>
      </w:r>
      <w:r w:rsidRPr="002F60E8">
        <w:rPr>
          <w:color w:val="000000" w:themeColor="text1"/>
        </w:rPr>
        <w:t>.</w:t>
      </w:r>
    </w:p>
    <w:p w14:paraId="405606B3" w14:textId="77777777" w:rsidR="005C26F8" w:rsidRPr="002F60E8" w:rsidRDefault="005C26F8" w:rsidP="00184632">
      <w:pPr>
        <w:rPr>
          <w:b/>
          <w:sz w:val="28"/>
          <w:szCs w:val="28"/>
        </w:rPr>
      </w:pPr>
    </w:p>
    <w:p w14:paraId="3F4BCCA1" w14:textId="77777777" w:rsidR="000D38D7" w:rsidRPr="002F60E8" w:rsidRDefault="003B14C1" w:rsidP="00184632">
      <w:pPr>
        <w:rPr>
          <w:b/>
          <w:color w:val="000000" w:themeColor="text1"/>
        </w:rPr>
      </w:pPr>
      <w:r w:rsidRPr="002F60E8">
        <w:rPr>
          <w:b/>
          <w:color w:val="000000" w:themeColor="text1"/>
        </w:rPr>
        <w:t>En cas de</w:t>
      </w:r>
      <w:r w:rsidR="000D38D7" w:rsidRPr="002F60E8">
        <w:rPr>
          <w:b/>
          <w:color w:val="000000" w:themeColor="text1"/>
        </w:rPr>
        <w:t xml:space="preserve"> décès de la personne conjointe</w:t>
      </w:r>
      <w:r w:rsidR="00184632" w:rsidRPr="002F60E8">
        <w:rPr>
          <w:b/>
          <w:color w:val="000000" w:themeColor="text1"/>
        </w:rPr>
        <w:t xml:space="preserve"> ou d’un enfant à charge</w:t>
      </w:r>
    </w:p>
    <w:p w14:paraId="59F620E4" w14:textId="77777777" w:rsidR="005C26F8" w:rsidRPr="002F60E8" w:rsidRDefault="005C26F8" w:rsidP="00184632">
      <w:pPr>
        <w:rPr>
          <w:color w:val="000000" w:themeColor="text1"/>
        </w:rPr>
      </w:pPr>
    </w:p>
    <w:p w14:paraId="5258B3F4" w14:textId="77777777" w:rsidR="005C26F8" w:rsidRPr="002F60E8" w:rsidRDefault="005C26F8" w:rsidP="00184632">
      <w:pPr>
        <w:pStyle w:val="Paragraphedeliste"/>
        <w:numPr>
          <w:ilvl w:val="0"/>
          <w:numId w:val="6"/>
        </w:numPr>
        <w:rPr>
          <w:color w:val="000000" w:themeColor="text1"/>
        </w:rPr>
      </w:pPr>
      <w:r w:rsidRPr="002F60E8">
        <w:rPr>
          <w:color w:val="000000" w:themeColor="text1"/>
        </w:rPr>
        <w:t>Communiquer avec SSQ pour aviser du décès</w:t>
      </w:r>
      <w:r w:rsidR="00577239" w:rsidRPr="002F60E8">
        <w:rPr>
          <w:color w:val="000000" w:themeColor="text1"/>
        </w:rPr>
        <w:t>.</w:t>
      </w:r>
    </w:p>
    <w:p w14:paraId="2FFC6B69" w14:textId="77777777" w:rsidR="005C26F8" w:rsidRPr="002F60E8" w:rsidRDefault="005C26F8" w:rsidP="00184632">
      <w:pPr>
        <w:rPr>
          <w:color w:val="000000" w:themeColor="text1"/>
        </w:rPr>
      </w:pPr>
    </w:p>
    <w:p w14:paraId="01B177D6" w14:textId="2293B8AF" w:rsidR="00A7041A" w:rsidRPr="002F60E8" w:rsidRDefault="00A7041A" w:rsidP="00A7041A">
      <w:pPr>
        <w:pStyle w:val="Paragraphedeliste"/>
        <w:numPr>
          <w:ilvl w:val="0"/>
          <w:numId w:val="6"/>
        </w:numPr>
        <w:rPr>
          <w:color w:val="000000" w:themeColor="text1"/>
        </w:rPr>
      </w:pPr>
      <w:r w:rsidRPr="002F60E8">
        <w:rPr>
          <w:color w:val="000000" w:themeColor="text1"/>
        </w:rPr>
        <w:t xml:space="preserve">Faire une demande de prestations d’assurance vie auprès de SSQ, s’il y a lieu (applicable </w:t>
      </w:r>
      <w:r w:rsidR="003B14C1" w:rsidRPr="002F60E8">
        <w:rPr>
          <w:color w:val="000000" w:themeColor="text1"/>
        </w:rPr>
        <w:t>seule</w:t>
      </w:r>
      <w:r w:rsidRPr="002F60E8">
        <w:rPr>
          <w:color w:val="000000" w:themeColor="text1"/>
        </w:rPr>
        <w:t xml:space="preserve">ment si vous participez au régime d’assurance vie </w:t>
      </w:r>
      <w:r w:rsidR="003B14C1" w:rsidRPr="002F60E8">
        <w:rPr>
          <w:color w:val="000000" w:themeColor="text1"/>
        </w:rPr>
        <w:t xml:space="preserve">de la personne conjointe et des enfants à charge </w:t>
      </w:r>
      <w:r w:rsidRPr="002F60E8">
        <w:rPr>
          <w:color w:val="000000" w:themeColor="text1"/>
        </w:rPr>
        <w:t>d’ASSUREQ</w:t>
      </w:r>
      <w:r w:rsidR="0041393D">
        <w:rPr>
          <w:color w:val="000000" w:themeColor="text1"/>
        </w:rPr>
        <w:t>,</w:t>
      </w:r>
      <w:r w:rsidRPr="002F60E8">
        <w:rPr>
          <w:color w:val="000000" w:themeColor="text1"/>
        </w:rPr>
        <w:t xml:space="preserve"> en protection familiale</w:t>
      </w:r>
      <w:r w:rsidR="0041393D">
        <w:rPr>
          <w:color w:val="000000" w:themeColor="text1"/>
        </w:rPr>
        <w:t xml:space="preserve">). </w:t>
      </w:r>
    </w:p>
    <w:p w14:paraId="104EF44F" w14:textId="77777777" w:rsidR="00C66739" w:rsidRPr="002F60E8" w:rsidRDefault="00C66739" w:rsidP="00184632">
      <w:pPr>
        <w:rPr>
          <w:color w:val="000000" w:themeColor="text1"/>
        </w:rPr>
      </w:pPr>
    </w:p>
    <w:p w14:paraId="3FFF2A95" w14:textId="6A5F60A3" w:rsidR="00990EE1" w:rsidRPr="002F60E8" w:rsidRDefault="00C66739" w:rsidP="003B5C81">
      <w:pPr>
        <w:pStyle w:val="Paragraphedeliste"/>
        <w:numPr>
          <w:ilvl w:val="0"/>
          <w:numId w:val="5"/>
        </w:numPr>
        <w:spacing w:after="120"/>
        <w:rPr>
          <w:b/>
          <w:color w:val="000000" w:themeColor="text1"/>
        </w:rPr>
      </w:pPr>
      <w:r w:rsidRPr="002F60E8">
        <w:rPr>
          <w:color w:val="000000" w:themeColor="text1"/>
        </w:rPr>
        <w:t xml:space="preserve">Faire la demande de </w:t>
      </w:r>
      <w:r w:rsidR="003B14C1" w:rsidRPr="002F60E8">
        <w:rPr>
          <w:color w:val="000000" w:themeColor="text1"/>
        </w:rPr>
        <w:t>réduction du statut</w:t>
      </w:r>
      <w:r w:rsidRPr="002F60E8">
        <w:rPr>
          <w:color w:val="000000" w:themeColor="text1"/>
        </w:rPr>
        <w:t xml:space="preserve"> </w:t>
      </w:r>
      <w:r w:rsidR="00990EE1" w:rsidRPr="002F60E8">
        <w:rPr>
          <w:color w:val="000000" w:themeColor="text1"/>
        </w:rPr>
        <w:t xml:space="preserve">de </w:t>
      </w:r>
      <w:r w:rsidR="003B14C1" w:rsidRPr="002F60E8">
        <w:rPr>
          <w:color w:val="000000" w:themeColor="text1"/>
        </w:rPr>
        <w:t>protection pour votre régime d’assurance maladie (</w:t>
      </w:r>
      <w:r w:rsidR="0041393D">
        <w:rPr>
          <w:color w:val="000000" w:themeColor="text1"/>
        </w:rPr>
        <w:t xml:space="preserve">de </w:t>
      </w:r>
      <w:r w:rsidRPr="002F60E8">
        <w:rPr>
          <w:color w:val="000000" w:themeColor="text1"/>
        </w:rPr>
        <w:t>familial à</w:t>
      </w:r>
      <w:r w:rsidR="003B14C1" w:rsidRPr="002F60E8">
        <w:rPr>
          <w:color w:val="000000" w:themeColor="text1"/>
        </w:rPr>
        <w:t xml:space="preserve"> monoparental</w:t>
      </w:r>
      <w:r w:rsidR="003B5C81" w:rsidRPr="002F60E8">
        <w:rPr>
          <w:color w:val="000000" w:themeColor="text1"/>
        </w:rPr>
        <w:t xml:space="preserve"> ou à</w:t>
      </w:r>
      <w:r w:rsidRPr="002F60E8">
        <w:rPr>
          <w:color w:val="000000" w:themeColor="text1"/>
        </w:rPr>
        <w:t xml:space="preserve"> individuel</w:t>
      </w:r>
      <w:r w:rsidR="003B5C81" w:rsidRPr="002F60E8">
        <w:rPr>
          <w:color w:val="000000" w:themeColor="text1"/>
        </w:rPr>
        <w:t>) et d’assurance vie (</w:t>
      </w:r>
      <w:r w:rsidR="0041393D">
        <w:rPr>
          <w:color w:val="000000" w:themeColor="text1"/>
        </w:rPr>
        <w:t xml:space="preserve">de </w:t>
      </w:r>
      <w:r w:rsidR="003B5C81" w:rsidRPr="002F60E8">
        <w:rPr>
          <w:color w:val="000000" w:themeColor="text1"/>
        </w:rPr>
        <w:t>familial à individuel)</w:t>
      </w:r>
      <w:r w:rsidRPr="002F60E8">
        <w:rPr>
          <w:color w:val="000000" w:themeColor="text1"/>
        </w:rPr>
        <w:t xml:space="preserve"> </w:t>
      </w:r>
      <w:r w:rsidRPr="002F60E8">
        <w:rPr>
          <w:b/>
          <w:color w:val="000000" w:themeColor="text1"/>
        </w:rPr>
        <w:t>s’il y a lieu</w:t>
      </w:r>
      <w:r w:rsidRPr="002F60E8">
        <w:rPr>
          <w:color w:val="000000" w:themeColor="text1"/>
        </w:rPr>
        <w:t xml:space="preserve">. SSQ ne modifie </w:t>
      </w:r>
      <w:r w:rsidRPr="0041393D">
        <w:rPr>
          <w:b/>
          <w:color w:val="000000" w:themeColor="text1"/>
        </w:rPr>
        <w:t>pas</w:t>
      </w:r>
      <w:r w:rsidRPr="002F60E8">
        <w:rPr>
          <w:color w:val="000000" w:themeColor="text1"/>
        </w:rPr>
        <w:t xml:space="preserve"> systématiquement le statut de protection </w:t>
      </w:r>
      <w:r w:rsidR="0041393D">
        <w:rPr>
          <w:color w:val="000000" w:themeColor="text1"/>
        </w:rPr>
        <w:t xml:space="preserve">lors du décès </w:t>
      </w:r>
      <w:r w:rsidR="003B5C81" w:rsidRPr="002F60E8">
        <w:rPr>
          <w:color w:val="000000" w:themeColor="text1"/>
        </w:rPr>
        <w:t>d</w:t>
      </w:r>
      <w:r w:rsidR="0041393D">
        <w:rPr>
          <w:color w:val="000000" w:themeColor="text1"/>
        </w:rPr>
        <w:t>’une</w:t>
      </w:r>
      <w:r w:rsidR="003B5C81" w:rsidRPr="002F60E8">
        <w:rPr>
          <w:color w:val="000000" w:themeColor="text1"/>
        </w:rPr>
        <w:t xml:space="preserve"> personne à charge.</w:t>
      </w:r>
      <w:r w:rsidRPr="002F60E8">
        <w:rPr>
          <w:color w:val="000000" w:themeColor="text1"/>
        </w:rPr>
        <w:t xml:space="preserve"> C’est au membre ASSUREQ à en faire la demande.</w:t>
      </w:r>
    </w:p>
    <w:p w14:paraId="3B11633B" w14:textId="77777777" w:rsidR="000D38D7" w:rsidRPr="002F60E8" w:rsidRDefault="00C66739" w:rsidP="00990EE1">
      <w:pPr>
        <w:ind w:left="720"/>
        <w:rPr>
          <w:b/>
          <w:color w:val="000000" w:themeColor="text1"/>
        </w:rPr>
      </w:pPr>
      <w:r w:rsidRPr="002F60E8">
        <w:rPr>
          <w:b/>
          <w:color w:val="000000" w:themeColor="text1"/>
        </w:rPr>
        <w:t>Pourquoi?</w:t>
      </w:r>
      <w:r w:rsidRPr="002F60E8">
        <w:rPr>
          <w:color w:val="000000" w:themeColor="text1"/>
        </w:rPr>
        <w:t xml:space="preserve"> Parce que SSQ ne peut prendre pour acquis que vous désirez effectuer le changement puisque vous pourriez </w:t>
      </w:r>
      <w:r w:rsidR="00184632" w:rsidRPr="002F60E8">
        <w:rPr>
          <w:color w:val="000000" w:themeColor="text1"/>
        </w:rPr>
        <w:t>vouloir, par exemple,</w:t>
      </w:r>
      <w:r w:rsidR="00685171" w:rsidRPr="002F60E8">
        <w:rPr>
          <w:color w:val="000000" w:themeColor="text1"/>
        </w:rPr>
        <w:t xml:space="preserve"> maintenir le statut familial pour</w:t>
      </w:r>
      <w:r w:rsidR="00184632" w:rsidRPr="002F60E8">
        <w:rPr>
          <w:color w:val="000000" w:themeColor="text1"/>
        </w:rPr>
        <w:t xml:space="preserve"> </w:t>
      </w:r>
      <w:r w:rsidR="00204B20" w:rsidRPr="002F60E8">
        <w:rPr>
          <w:color w:val="000000" w:themeColor="text1"/>
        </w:rPr>
        <w:t>continuer d’assurer votre ou vos</w:t>
      </w:r>
      <w:r w:rsidRPr="002F60E8">
        <w:rPr>
          <w:color w:val="000000" w:themeColor="text1"/>
        </w:rPr>
        <w:t xml:space="preserve"> enfants à charge</w:t>
      </w:r>
      <w:r w:rsidR="00184632" w:rsidRPr="002F60E8">
        <w:rPr>
          <w:color w:val="000000" w:themeColor="text1"/>
        </w:rPr>
        <w:t xml:space="preserve"> malgré que votre personne conjointe soit décédée</w:t>
      </w:r>
      <w:r w:rsidRPr="002F60E8">
        <w:rPr>
          <w:color w:val="000000" w:themeColor="text1"/>
        </w:rPr>
        <w:t>.</w:t>
      </w:r>
    </w:p>
    <w:p w14:paraId="2518A4C1" w14:textId="77777777" w:rsidR="00C66739" w:rsidRPr="002F60E8" w:rsidRDefault="00C66739" w:rsidP="00184632">
      <w:pPr>
        <w:rPr>
          <w:b/>
          <w:color w:val="000000" w:themeColor="text1"/>
        </w:rPr>
      </w:pPr>
    </w:p>
    <w:p w14:paraId="3D753D2E" w14:textId="77777777" w:rsidR="00990EE1" w:rsidRPr="002F60E8" w:rsidRDefault="00C66739" w:rsidP="003B5C81">
      <w:pPr>
        <w:pStyle w:val="Paragraphedeliste"/>
        <w:numPr>
          <w:ilvl w:val="0"/>
          <w:numId w:val="5"/>
        </w:numPr>
        <w:spacing w:after="120"/>
        <w:rPr>
          <w:color w:val="000000" w:themeColor="text1"/>
        </w:rPr>
      </w:pPr>
      <w:r w:rsidRPr="002F60E8">
        <w:rPr>
          <w:color w:val="000000" w:themeColor="text1"/>
        </w:rPr>
        <w:t xml:space="preserve">Le changement de </w:t>
      </w:r>
      <w:r w:rsidR="003B5C81" w:rsidRPr="002F60E8">
        <w:rPr>
          <w:color w:val="000000" w:themeColor="text1"/>
        </w:rPr>
        <w:t>statut de protection</w:t>
      </w:r>
      <w:r w:rsidRPr="002F60E8">
        <w:rPr>
          <w:color w:val="000000" w:themeColor="text1"/>
        </w:rPr>
        <w:t xml:space="preserve"> doit se faire </w:t>
      </w:r>
      <w:r w:rsidR="00204B20" w:rsidRPr="002F60E8">
        <w:rPr>
          <w:color w:val="000000" w:themeColor="text1"/>
        </w:rPr>
        <w:t>pour les deux régimes distinctement</w:t>
      </w:r>
      <w:r w:rsidR="00685171" w:rsidRPr="002F60E8">
        <w:rPr>
          <w:color w:val="000000" w:themeColor="text1"/>
        </w:rPr>
        <w:t xml:space="preserve"> c’est-à-dire pour l’assurance maladie et pour l’assurance vie</w:t>
      </w:r>
      <w:r w:rsidR="00204B20" w:rsidRPr="002F60E8">
        <w:rPr>
          <w:color w:val="000000" w:themeColor="text1"/>
        </w:rPr>
        <w:t>.</w:t>
      </w:r>
    </w:p>
    <w:p w14:paraId="55B8E8F9" w14:textId="77777777" w:rsidR="00C66739" w:rsidRPr="002F60E8" w:rsidRDefault="00204B20" w:rsidP="00990EE1">
      <w:pPr>
        <w:ind w:left="720"/>
        <w:rPr>
          <w:b/>
          <w:color w:val="000000" w:themeColor="text1"/>
        </w:rPr>
      </w:pPr>
      <w:r w:rsidRPr="002F60E8">
        <w:rPr>
          <w:b/>
          <w:color w:val="000000" w:themeColor="text1"/>
        </w:rPr>
        <w:t>Pourquoi?</w:t>
      </w:r>
      <w:r w:rsidRPr="002F60E8">
        <w:rPr>
          <w:color w:val="000000" w:themeColor="text1"/>
        </w:rPr>
        <w:t xml:space="preserve"> Parce que vous pourriez </w:t>
      </w:r>
      <w:r w:rsidR="00990EE1" w:rsidRPr="002F60E8">
        <w:rPr>
          <w:color w:val="000000" w:themeColor="text1"/>
        </w:rPr>
        <w:t xml:space="preserve">choisir </w:t>
      </w:r>
      <w:r w:rsidRPr="002F60E8">
        <w:rPr>
          <w:color w:val="000000" w:themeColor="text1"/>
        </w:rPr>
        <w:t xml:space="preserve">la protection individuelle pour un régime et </w:t>
      </w:r>
      <w:r w:rsidR="003B5C81" w:rsidRPr="002F60E8">
        <w:rPr>
          <w:color w:val="000000" w:themeColor="text1"/>
        </w:rPr>
        <w:t>conserv</w:t>
      </w:r>
      <w:r w:rsidRPr="002F60E8">
        <w:rPr>
          <w:color w:val="000000" w:themeColor="text1"/>
        </w:rPr>
        <w:t xml:space="preserve">er la protection familiale </w:t>
      </w:r>
      <w:r w:rsidR="00BB2E66" w:rsidRPr="002F60E8">
        <w:rPr>
          <w:color w:val="000000" w:themeColor="text1"/>
        </w:rPr>
        <w:t>pour</w:t>
      </w:r>
      <w:r w:rsidRPr="002F60E8">
        <w:rPr>
          <w:color w:val="000000" w:themeColor="text1"/>
        </w:rPr>
        <w:t xml:space="preserve"> l’autre</w:t>
      </w:r>
      <w:r w:rsidR="00BB2E66" w:rsidRPr="002F60E8">
        <w:rPr>
          <w:color w:val="000000" w:themeColor="text1"/>
        </w:rPr>
        <w:t>,</w:t>
      </w:r>
      <w:r w:rsidRPr="002F60E8">
        <w:rPr>
          <w:color w:val="000000" w:themeColor="text1"/>
        </w:rPr>
        <w:t xml:space="preserve"> </w:t>
      </w:r>
      <w:r w:rsidRPr="002F60E8">
        <w:rPr>
          <w:b/>
          <w:color w:val="000000" w:themeColor="text1"/>
        </w:rPr>
        <w:t xml:space="preserve">si les dispositions du contrat </w:t>
      </w:r>
      <w:r w:rsidR="003B5C81" w:rsidRPr="002F60E8">
        <w:rPr>
          <w:b/>
          <w:color w:val="000000" w:themeColor="text1"/>
        </w:rPr>
        <w:t>le</w:t>
      </w:r>
      <w:r w:rsidRPr="002F60E8">
        <w:rPr>
          <w:b/>
          <w:color w:val="000000" w:themeColor="text1"/>
        </w:rPr>
        <w:t xml:space="preserve"> permettent.</w:t>
      </w:r>
    </w:p>
    <w:p w14:paraId="31CE7B70" w14:textId="77777777" w:rsidR="00BB2E66" w:rsidRPr="002F60E8" w:rsidRDefault="00BB2E66" w:rsidP="00184632">
      <w:pPr>
        <w:pStyle w:val="Paragraphedeliste"/>
        <w:rPr>
          <w:color w:val="000000" w:themeColor="text1"/>
        </w:rPr>
      </w:pPr>
    </w:p>
    <w:p w14:paraId="59624F81" w14:textId="77777777" w:rsidR="003B5C81" w:rsidRPr="002F60E8" w:rsidRDefault="00BB2E66" w:rsidP="003B5C81">
      <w:pPr>
        <w:pStyle w:val="Paragraphedeliste"/>
        <w:numPr>
          <w:ilvl w:val="0"/>
          <w:numId w:val="5"/>
        </w:numPr>
        <w:spacing w:after="120"/>
        <w:rPr>
          <w:color w:val="000000" w:themeColor="text1"/>
        </w:rPr>
      </w:pPr>
      <w:r w:rsidRPr="002F60E8">
        <w:rPr>
          <w:color w:val="000000" w:themeColor="text1"/>
        </w:rPr>
        <w:t>Faire la modification du nom de votre ou vos bénéficiaires d’assurance vie, s’il y a lieu.</w:t>
      </w:r>
    </w:p>
    <w:p w14:paraId="2B90DD35" w14:textId="77777777" w:rsidR="002B36CF" w:rsidRPr="002F60E8" w:rsidRDefault="00BB2E66" w:rsidP="003B5C81">
      <w:pPr>
        <w:spacing w:after="120"/>
        <w:ind w:left="720"/>
        <w:rPr>
          <w:color w:val="000000" w:themeColor="text1"/>
        </w:rPr>
      </w:pPr>
      <w:r w:rsidRPr="002F60E8">
        <w:rPr>
          <w:b/>
          <w:color w:val="000000" w:themeColor="text1"/>
        </w:rPr>
        <w:t>Comment faire?</w:t>
      </w:r>
      <w:r w:rsidRPr="002F60E8">
        <w:rPr>
          <w:color w:val="000000" w:themeColor="text1"/>
        </w:rPr>
        <w:t xml:space="preserve"> En effectuant la modification vous-même via le site</w:t>
      </w:r>
      <w:r w:rsidR="002F60E8">
        <w:rPr>
          <w:color w:val="000000" w:themeColor="text1"/>
        </w:rPr>
        <w:br/>
      </w:r>
      <w:r w:rsidRPr="002F60E8">
        <w:rPr>
          <w:color w:val="000000" w:themeColor="text1"/>
        </w:rPr>
        <w:t>Accès</w:t>
      </w:r>
      <w:r w:rsidR="002F60E8">
        <w:rPr>
          <w:color w:val="000000" w:themeColor="text1"/>
        </w:rPr>
        <w:t xml:space="preserve"> </w:t>
      </w:r>
      <w:r w:rsidRPr="002F60E8">
        <w:rPr>
          <w:color w:val="000000" w:themeColor="text1"/>
        </w:rPr>
        <w:t>|</w:t>
      </w:r>
      <w:r w:rsidR="002F60E8">
        <w:rPr>
          <w:color w:val="000000" w:themeColor="text1"/>
        </w:rPr>
        <w:t xml:space="preserve"> </w:t>
      </w:r>
      <w:r w:rsidRPr="002F60E8">
        <w:rPr>
          <w:color w:val="000000" w:themeColor="text1"/>
        </w:rPr>
        <w:t>assurés de SSQ ou en communiquant avec SSQ.</w:t>
      </w:r>
    </w:p>
    <w:p w14:paraId="6F830FD2" w14:textId="77777777" w:rsidR="002B36CF" w:rsidRDefault="002B36CF" w:rsidP="003B5C81">
      <w:pPr>
        <w:spacing w:after="120"/>
        <w:ind w:left="720"/>
        <w:rPr>
          <w:rFonts w:asciiTheme="minorHAnsi" w:hAnsiTheme="minorHAnsi"/>
          <w:color w:val="000000" w:themeColor="text1"/>
        </w:rPr>
        <w:sectPr w:rsidR="002B36CF" w:rsidSect="007675B3">
          <w:pgSz w:w="12240" w:h="15840" w:code="1"/>
          <w:pgMar w:top="1080" w:right="1440" w:bottom="1260" w:left="1440" w:header="706" w:footer="706" w:gutter="0"/>
          <w:cols w:space="720"/>
          <w:noEndnote/>
          <w:titlePg/>
        </w:sectPr>
      </w:pPr>
    </w:p>
    <w:p w14:paraId="1202D5C4" w14:textId="7BEF0D40" w:rsidR="00577239" w:rsidRPr="003A697F" w:rsidRDefault="003B5C81" w:rsidP="003B5C81">
      <w:pPr>
        <w:jc w:val="center"/>
        <w:rPr>
          <w:b/>
          <w:sz w:val="26"/>
          <w:szCs w:val="26"/>
        </w:rPr>
      </w:pPr>
      <w:r w:rsidRPr="003A697F">
        <w:rPr>
          <w:b/>
          <w:color w:val="000000" w:themeColor="text1"/>
          <w:sz w:val="26"/>
          <w:szCs w:val="26"/>
        </w:rPr>
        <w:lastRenderedPageBreak/>
        <w:t xml:space="preserve">Montant de protection payable </w:t>
      </w:r>
      <w:r w:rsidR="0041393D" w:rsidRPr="003A697F">
        <w:rPr>
          <w:b/>
          <w:color w:val="000000" w:themeColor="text1"/>
          <w:sz w:val="26"/>
          <w:szCs w:val="26"/>
        </w:rPr>
        <w:t>au membre ASSUREQ lors du</w:t>
      </w:r>
      <w:r w:rsidRPr="003A697F">
        <w:rPr>
          <w:b/>
          <w:color w:val="000000" w:themeColor="text1"/>
          <w:sz w:val="26"/>
          <w:szCs w:val="26"/>
        </w:rPr>
        <w:t xml:space="preserve"> décès </w:t>
      </w:r>
      <w:r w:rsidR="003A697F">
        <w:rPr>
          <w:b/>
          <w:color w:val="000000" w:themeColor="text1"/>
          <w:sz w:val="26"/>
          <w:szCs w:val="26"/>
        </w:rPr>
        <w:br/>
      </w:r>
      <w:r w:rsidRPr="003A697F">
        <w:rPr>
          <w:b/>
          <w:color w:val="000000" w:themeColor="text1"/>
          <w:sz w:val="26"/>
          <w:szCs w:val="26"/>
        </w:rPr>
        <w:t>d’une</w:t>
      </w:r>
      <w:r w:rsidR="00184632" w:rsidRPr="003A697F">
        <w:rPr>
          <w:b/>
          <w:sz w:val="26"/>
          <w:szCs w:val="26"/>
        </w:rPr>
        <w:t xml:space="preserve"> personne à charge</w:t>
      </w:r>
    </w:p>
    <w:p w14:paraId="11CF7807" w14:textId="77777777" w:rsidR="00685171" w:rsidRPr="002B36CF" w:rsidRDefault="00685171" w:rsidP="00184632">
      <w:pPr>
        <w:jc w:val="center"/>
        <w:rPr>
          <w:rFonts w:asciiTheme="minorHAnsi" w:hAnsiTheme="minorHAnsi"/>
          <w:b/>
          <w:sz w:val="12"/>
          <w:szCs w:val="12"/>
        </w:rPr>
      </w:pPr>
    </w:p>
    <w:tbl>
      <w:tblPr>
        <w:tblStyle w:val="Grilledutableau"/>
        <w:tblW w:w="0" w:type="auto"/>
        <w:tblInd w:w="108" w:type="dxa"/>
        <w:tblLook w:val="04A0" w:firstRow="1" w:lastRow="0" w:firstColumn="1" w:lastColumn="0" w:noHBand="0" w:noVBand="1"/>
      </w:tblPr>
      <w:tblGrid>
        <w:gridCol w:w="4642"/>
        <w:gridCol w:w="4750"/>
      </w:tblGrid>
      <w:tr w:rsidR="00184632" w:rsidRPr="002F60E8" w14:paraId="014E99C3" w14:textId="77777777" w:rsidTr="003A697F">
        <w:trPr>
          <w:trHeight w:val="576"/>
        </w:trPr>
        <w:tc>
          <w:tcPr>
            <w:tcW w:w="4642" w:type="dxa"/>
            <w:vAlign w:val="center"/>
          </w:tcPr>
          <w:p w14:paraId="5F3C6461" w14:textId="77777777" w:rsidR="00184632" w:rsidRPr="002F60E8" w:rsidRDefault="00184632" w:rsidP="00685171">
            <w:pPr>
              <w:jc w:val="left"/>
              <w:rPr>
                <w:b/>
              </w:rPr>
            </w:pPr>
            <w:r w:rsidRPr="002F60E8">
              <w:rPr>
                <w:b/>
              </w:rPr>
              <w:t>Personne à charge</w:t>
            </w:r>
          </w:p>
        </w:tc>
        <w:tc>
          <w:tcPr>
            <w:tcW w:w="4750" w:type="dxa"/>
            <w:vAlign w:val="center"/>
          </w:tcPr>
          <w:p w14:paraId="2AE3D427" w14:textId="4B0251C3" w:rsidR="00184632" w:rsidRPr="002F60E8" w:rsidRDefault="0041393D" w:rsidP="00685171">
            <w:pPr>
              <w:jc w:val="left"/>
              <w:rPr>
                <w:b/>
              </w:rPr>
            </w:pPr>
            <w:r>
              <w:rPr>
                <w:b/>
              </w:rPr>
              <w:t>Montant de</w:t>
            </w:r>
            <w:r w:rsidR="00184632" w:rsidRPr="002F60E8">
              <w:rPr>
                <w:b/>
              </w:rPr>
              <w:t xml:space="preserve"> protection</w:t>
            </w:r>
          </w:p>
        </w:tc>
      </w:tr>
      <w:tr w:rsidR="00184632" w:rsidRPr="002F60E8" w14:paraId="1B2C48AA" w14:textId="77777777" w:rsidTr="003A697F">
        <w:trPr>
          <w:trHeight w:val="576"/>
        </w:trPr>
        <w:tc>
          <w:tcPr>
            <w:tcW w:w="4642" w:type="dxa"/>
            <w:vAlign w:val="center"/>
          </w:tcPr>
          <w:p w14:paraId="3F6D8D28" w14:textId="77777777" w:rsidR="00184632" w:rsidRPr="002F60E8" w:rsidRDefault="00184632" w:rsidP="00685171">
            <w:pPr>
              <w:jc w:val="left"/>
            </w:pPr>
            <w:r w:rsidRPr="002F60E8">
              <w:t>Personne conjointe</w:t>
            </w:r>
          </w:p>
        </w:tc>
        <w:tc>
          <w:tcPr>
            <w:tcW w:w="4750" w:type="dxa"/>
            <w:vAlign w:val="center"/>
          </w:tcPr>
          <w:p w14:paraId="68CCFDAA" w14:textId="77777777" w:rsidR="00184632" w:rsidRPr="002F60E8" w:rsidRDefault="00184632" w:rsidP="00685171">
            <w:pPr>
              <w:jc w:val="left"/>
            </w:pPr>
            <w:r w:rsidRPr="002F60E8">
              <w:t>5</w:t>
            </w:r>
            <w:r w:rsidR="00990EE1" w:rsidRPr="002F60E8">
              <w:t> </w:t>
            </w:r>
            <w:r w:rsidRPr="002F60E8">
              <w:t>000</w:t>
            </w:r>
            <w:r w:rsidR="00990EE1" w:rsidRPr="002F60E8">
              <w:t xml:space="preserve"> </w:t>
            </w:r>
            <w:r w:rsidRPr="002F60E8">
              <w:t>$</w:t>
            </w:r>
          </w:p>
        </w:tc>
      </w:tr>
      <w:tr w:rsidR="00184632" w:rsidRPr="002F60E8" w14:paraId="1E7B633C" w14:textId="77777777" w:rsidTr="003A697F">
        <w:trPr>
          <w:trHeight w:val="656"/>
        </w:trPr>
        <w:tc>
          <w:tcPr>
            <w:tcW w:w="4642" w:type="dxa"/>
            <w:vAlign w:val="center"/>
          </w:tcPr>
          <w:p w14:paraId="0CEC5670" w14:textId="77777777" w:rsidR="00184632" w:rsidRPr="002F60E8" w:rsidRDefault="00184632" w:rsidP="00685171">
            <w:pPr>
              <w:jc w:val="left"/>
            </w:pPr>
            <w:r w:rsidRPr="002F60E8">
              <w:t xml:space="preserve">Enfant à charge (âgé d’au moins 24 </w:t>
            </w:r>
            <w:r w:rsidR="007675B3">
              <w:t>heures</w:t>
            </w:r>
            <w:r w:rsidRPr="002F60E8">
              <w:t>)</w:t>
            </w:r>
          </w:p>
        </w:tc>
        <w:tc>
          <w:tcPr>
            <w:tcW w:w="4750" w:type="dxa"/>
            <w:vAlign w:val="center"/>
          </w:tcPr>
          <w:p w14:paraId="61BCAE66" w14:textId="77777777" w:rsidR="00184632" w:rsidRPr="002F60E8" w:rsidRDefault="00184632" w:rsidP="00685171">
            <w:pPr>
              <w:jc w:val="left"/>
            </w:pPr>
            <w:r w:rsidRPr="002F60E8">
              <w:t>5</w:t>
            </w:r>
            <w:r w:rsidR="00990EE1" w:rsidRPr="002F60E8">
              <w:t> </w:t>
            </w:r>
            <w:r w:rsidRPr="002F60E8">
              <w:t>000</w:t>
            </w:r>
            <w:r w:rsidR="00990EE1" w:rsidRPr="002F60E8">
              <w:t xml:space="preserve"> </w:t>
            </w:r>
            <w:r w:rsidRPr="002F60E8">
              <w:t>$</w:t>
            </w:r>
            <w:r w:rsidR="002B36CF" w:rsidRPr="002F60E8">
              <w:rPr>
                <w:sz w:val="28"/>
                <w:szCs w:val="28"/>
              </w:rPr>
              <w:t>*</w:t>
            </w:r>
          </w:p>
        </w:tc>
      </w:tr>
    </w:tbl>
    <w:p w14:paraId="7E9AC903" w14:textId="4280AB28" w:rsidR="00685171" w:rsidRPr="0041393D" w:rsidRDefault="002B36CF" w:rsidP="00184632">
      <w:pPr>
        <w:rPr>
          <w:color w:val="000000" w:themeColor="text1"/>
          <w:sz w:val="20"/>
          <w:szCs w:val="20"/>
        </w:rPr>
      </w:pPr>
      <w:r w:rsidRPr="0041393D">
        <w:rPr>
          <w:color w:val="000000" w:themeColor="text1"/>
          <w:sz w:val="20"/>
          <w:szCs w:val="20"/>
        </w:rPr>
        <w:t>*Dans le c</w:t>
      </w:r>
      <w:r w:rsidR="0041393D">
        <w:rPr>
          <w:color w:val="000000" w:themeColor="text1"/>
          <w:sz w:val="20"/>
          <w:szCs w:val="20"/>
        </w:rPr>
        <w:t xml:space="preserve">as d’une famille monoparentale, </w:t>
      </w:r>
      <w:r w:rsidRPr="0041393D">
        <w:rPr>
          <w:color w:val="000000" w:themeColor="text1"/>
          <w:sz w:val="20"/>
          <w:szCs w:val="20"/>
        </w:rPr>
        <w:t>une somme est ajoutée au montant payable.</w:t>
      </w:r>
    </w:p>
    <w:p w14:paraId="131E7E97" w14:textId="77777777" w:rsidR="002B36CF" w:rsidRPr="006A3A8D" w:rsidRDefault="002B36CF" w:rsidP="00184632">
      <w:pPr>
        <w:rPr>
          <w:b/>
          <w:color w:val="000000" w:themeColor="text1"/>
          <w:sz w:val="28"/>
          <w:szCs w:val="28"/>
        </w:rPr>
      </w:pPr>
    </w:p>
    <w:p w14:paraId="13EB1C22" w14:textId="77777777" w:rsidR="00A53324" w:rsidRPr="000875DC" w:rsidRDefault="00A53324" w:rsidP="00184632">
      <w:pPr>
        <w:rPr>
          <w:b/>
          <w:color w:val="000000" w:themeColor="text1"/>
          <w:sz w:val="28"/>
          <w:szCs w:val="28"/>
        </w:rPr>
      </w:pPr>
      <w:r w:rsidRPr="000875DC">
        <w:rPr>
          <w:b/>
          <w:color w:val="000000" w:themeColor="text1"/>
          <w:sz w:val="28"/>
          <w:szCs w:val="28"/>
        </w:rPr>
        <w:t>Coordonnées utiles</w:t>
      </w:r>
    </w:p>
    <w:p w14:paraId="3DA2FD73" w14:textId="77777777" w:rsidR="00990EE1" w:rsidRPr="002F60E8" w:rsidRDefault="00990EE1" w:rsidP="00184632">
      <w:pPr>
        <w:rPr>
          <w:b/>
          <w:color w:val="000000" w:themeColor="text1"/>
        </w:rPr>
      </w:pPr>
    </w:p>
    <w:p w14:paraId="30E1E7FD" w14:textId="77777777" w:rsidR="00990EE1" w:rsidRPr="002F60E8" w:rsidRDefault="00990EE1" w:rsidP="00990EE1">
      <w:pPr>
        <w:spacing w:line="270" w:lineRule="atLeast"/>
        <w:jc w:val="left"/>
        <w:rPr>
          <w:b/>
          <w:snapToGrid/>
          <w:color w:val="2E2E2E"/>
          <w:lang w:val="fr-FR"/>
        </w:rPr>
      </w:pPr>
      <w:r w:rsidRPr="002F60E8">
        <w:rPr>
          <w:b/>
          <w:snapToGrid/>
          <w:color w:val="2E2E2E"/>
          <w:lang w:val="fr-FR"/>
        </w:rPr>
        <w:t>AREQ (CSQ), Association des retraitées et retraités de l’éducation et des autres services publics du Québec</w:t>
      </w:r>
    </w:p>
    <w:p w14:paraId="658DAC20" w14:textId="77777777" w:rsidR="00990EE1" w:rsidRPr="002F60E8" w:rsidRDefault="00990EE1" w:rsidP="00990EE1">
      <w:pPr>
        <w:spacing w:line="270" w:lineRule="atLeast"/>
        <w:jc w:val="left"/>
        <w:rPr>
          <w:snapToGrid/>
          <w:color w:val="2E2E2E"/>
          <w:lang w:val="fr-FR"/>
        </w:rPr>
      </w:pPr>
      <w:r w:rsidRPr="002F60E8">
        <w:rPr>
          <w:snapToGrid/>
          <w:color w:val="2E2E2E"/>
          <w:lang w:val="fr-FR"/>
        </w:rPr>
        <w:t>320, rue St-Joseph Est, bureau 100</w:t>
      </w:r>
    </w:p>
    <w:p w14:paraId="071131F4" w14:textId="77777777" w:rsidR="00990EE1" w:rsidRPr="002F60E8" w:rsidRDefault="00990EE1" w:rsidP="00990EE1">
      <w:pPr>
        <w:spacing w:after="120" w:line="270" w:lineRule="atLeast"/>
        <w:jc w:val="left"/>
        <w:rPr>
          <w:snapToGrid/>
          <w:color w:val="2E2E2E"/>
          <w:lang w:val="fr-FR"/>
        </w:rPr>
      </w:pPr>
      <w:r w:rsidRPr="002F60E8">
        <w:rPr>
          <w:snapToGrid/>
          <w:color w:val="2E2E2E"/>
          <w:lang w:val="fr-FR"/>
        </w:rPr>
        <w:t>Québec (Québec) G1K 9E7</w:t>
      </w:r>
    </w:p>
    <w:p w14:paraId="39B60774" w14:textId="77777777" w:rsidR="00990EE1" w:rsidRPr="002F60E8" w:rsidRDefault="00990EE1" w:rsidP="00990EE1">
      <w:pPr>
        <w:spacing w:line="270" w:lineRule="atLeast"/>
        <w:jc w:val="left"/>
        <w:rPr>
          <w:snapToGrid/>
          <w:color w:val="2E2E2E"/>
          <w:lang w:val="fr-FR"/>
        </w:rPr>
      </w:pPr>
      <w:r w:rsidRPr="002F60E8">
        <w:rPr>
          <w:snapToGrid/>
          <w:color w:val="2E2E2E"/>
          <w:lang w:val="fr-FR"/>
        </w:rPr>
        <w:t>Téléphone : 418 525-0611</w:t>
      </w:r>
    </w:p>
    <w:p w14:paraId="1748AE42" w14:textId="77777777" w:rsidR="00990EE1" w:rsidRPr="002F60E8" w:rsidRDefault="00990EE1" w:rsidP="00990EE1">
      <w:pPr>
        <w:spacing w:line="270" w:lineRule="atLeast"/>
        <w:jc w:val="left"/>
        <w:rPr>
          <w:snapToGrid/>
          <w:color w:val="2E2E2E"/>
          <w:lang w:val="fr-FR"/>
        </w:rPr>
      </w:pPr>
      <w:r w:rsidRPr="002F60E8">
        <w:rPr>
          <w:snapToGrid/>
          <w:color w:val="2E2E2E"/>
          <w:lang w:val="fr-FR"/>
        </w:rPr>
        <w:t>Sans frais : 1 800 663-2408</w:t>
      </w:r>
    </w:p>
    <w:p w14:paraId="5A51C788" w14:textId="77777777" w:rsidR="00990EE1" w:rsidRPr="002F60E8" w:rsidRDefault="00990EE1" w:rsidP="00990EE1">
      <w:pPr>
        <w:spacing w:line="270" w:lineRule="atLeast"/>
        <w:jc w:val="left"/>
        <w:rPr>
          <w:snapToGrid/>
          <w:color w:val="2E2E2E"/>
          <w:lang w:val="fr-FR"/>
        </w:rPr>
      </w:pPr>
      <w:r w:rsidRPr="002F60E8">
        <w:rPr>
          <w:snapToGrid/>
          <w:color w:val="2E2E2E"/>
          <w:lang w:val="fr-FR"/>
        </w:rPr>
        <w:t xml:space="preserve">Site </w:t>
      </w:r>
      <w:r w:rsidR="007675B3">
        <w:rPr>
          <w:snapToGrid/>
          <w:color w:val="2E2E2E"/>
          <w:lang w:val="fr-FR"/>
        </w:rPr>
        <w:t>I</w:t>
      </w:r>
      <w:r w:rsidRPr="002F60E8">
        <w:rPr>
          <w:snapToGrid/>
          <w:color w:val="2E2E2E"/>
          <w:lang w:val="fr-FR"/>
        </w:rPr>
        <w:t xml:space="preserve">nternet : </w:t>
      </w:r>
      <w:hyperlink r:id="rId19" w:history="1">
        <w:r w:rsidRPr="002F60E8">
          <w:rPr>
            <w:rStyle w:val="Lienhypertexte"/>
            <w:snapToGrid/>
            <w:lang w:val="fr-FR"/>
          </w:rPr>
          <w:t>www.areq.qc.net</w:t>
        </w:r>
      </w:hyperlink>
    </w:p>
    <w:p w14:paraId="0E609708" w14:textId="77777777" w:rsidR="00990EE1" w:rsidRPr="006A3A8D" w:rsidRDefault="00990EE1" w:rsidP="00990EE1">
      <w:pPr>
        <w:spacing w:line="270" w:lineRule="atLeast"/>
        <w:jc w:val="left"/>
        <w:rPr>
          <w:snapToGrid/>
          <w:sz w:val="28"/>
          <w:szCs w:val="28"/>
          <w:u w:val="single"/>
          <w:lang w:val="fr-FR"/>
        </w:rPr>
      </w:pPr>
    </w:p>
    <w:p w14:paraId="2A8ED397" w14:textId="77777777" w:rsidR="00990EE1" w:rsidRPr="002F60E8" w:rsidRDefault="00990EE1" w:rsidP="00990EE1">
      <w:pPr>
        <w:spacing w:after="120" w:line="270" w:lineRule="atLeast"/>
        <w:jc w:val="left"/>
        <w:rPr>
          <w:snapToGrid/>
          <w:color w:val="2E2E2E"/>
          <w:lang w:val="fr-FR"/>
        </w:rPr>
      </w:pPr>
      <w:r w:rsidRPr="002F60E8">
        <w:rPr>
          <w:b/>
          <w:bCs/>
          <w:snapToGrid/>
          <w:color w:val="2E2E2E"/>
          <w:lang w:val="fr-FR"/>
        </w:rPr>
        <w:t xml:space="preserve">SSQ, Société d’assurance-vie </w:t>
      </w:r>
      <w:proofErr w:type="spellStart"/>
      <w:r w:rsidRPr="002F60E8">
        <w:rPr>
          <w:b/>
          <w:bCs/>
          <w:snapToGrid/>
          <w:color w:val="2E2E2E"/>
          <w:lang w:val="fr-FR"/>
        </w:rPr>
        <w:t>inc</w:t>
      </w:r>
      <w:proofErr w:type="gramStart"/>
      <w:r w:rsidRPr="002F60E8">
        <w:rPr>
          <w:b/>
          <w:bCs/>
          <w:snapToGrid/>
          <w:color w:val="2E2E2E"/>
          <w:lang w:val="fr-FR"/>
        </w:rPr>
        <w:t>.</w:t>
      </w:r>
      <w:proofErr w:type="spellEnd"/>
      <w:proofErr w:type="gramEnd"/>
      <w:r w:rsidRPr="002F60E8">
        <w:rPr>
          <w:snapToGrid/>
          <w:color w:val="2E2E2E"/>
          <w:lang w:val="fr-FR"/>
        </w:rPr>
        <w:br/>
        <w:t>2525, boulevard Laurier</w:t>
      </w:r>
      <w:r w:rsidRPr="002F60E8">
        <w:rPr>
          <w:snapToGrid/>
          <w:color w:val="2E2E2E"/>
          <w:lang w:val="fr-FR"/>
        </w:rPr>
        <w:br/>
        <w:t>C.P. 10500, succursale Sainte-Foy</w:t>
      </w:r>
      <w:r w:rsidRPr="002F60E8">
        <w:rPr>
          <w:snapToGrid/>
          <w:color w:val="2E2E2E"/>
          <w:lang w:val="fr-FR"/>
        </w:rPr>
        <w:br/>
        <w:t>Québec (Québec)  G1V 4H6</w:t>
      </w:r>
    </w:p>
    <w:p w14:paraId="44581ED9" w14:textId="77777777" w:rsidR="00990EE1" w:rsidRPr="002F60E8" w:rsidRDefault="00990EE1" w:rsidP="00990EE1">
      <w:pPr>
        <w:spacing w:line="270" w:lineRule="atLeast"/>
        <w:jc w:val="left"/>
        <w:rPr>
          <w:snapToGrid/>
          <w:color w:val="2E2E2E"/>
          <w:lang w:val="fr-FR"/>
        </w:rPr>
      </w:pPr>
      <w:r w:rsidRPr="002F60E8">
        <w:rPr>
          <w:snapToGrid/>
          <w:color w:val="2E2E2E"/>
          <w:lang w:val="fr-FR"/>
        </w:rPr>
        <w:t>Téléphone : 418 651-6962</w:t>
      </w:r>
    </w:p>
    <w:p w14:paraId="03A44041" w14:textId="77777777" w:rsidR="00990EE1" w:rsidRPr="002F60E8" w:rsidRDefault="00990EE1" w:rsidP="00990EE1">
      <w:pPr>
        <w:spacing w:line="270" w:lineRule="atLeast"/>
        <w:jc w:val="left"/>
        <w:rPr>
          <w:snapToGrid/>
          <w:color w:val="2E2E2E"/>
          <w:lang w:val="fr-FR"/>
        </w:rPr>
      </w:pPr>
      <w:r w:rsidRPr="002F60E8">
        <w:rPr>
          <w:snapToGrid/>
          <w:color w:val="2E2E2E"/>
          <w:lang w:val="fr-FR"/>
        </w:rPr>
        <w:t>Sans frais : 1 888 833-6962</w:t>
      </w:r>
    </w:p>
    <w:p w14:paraId="4F41B3C9" w14:textId="77777777" w:rsidR="00990EE1" w:rsidRPr="002F60E8" w:rsidRDefault="00990EE1" w:rsidP="00990EE1">
      <w:pPr>
        <w:spacing w:line="270" w:lineRule="atLeast"/>
        <w:jc w:val="left"/>
        <w:rPr>
          <w:snapToGrid/>
          <w:color w:val="2E2E2E"/>
          <w:lang w:val="fr-FR"/>
        </w:rPr>
      </w:pPr>
      <w:r w:rsidRPr="002F60E8">
        <w:rPr>
          <w:snapToGrid/>
          <w:color w:val="2E2E2E"/>
          <w:lang w:val="fr-FR"/>
        </w:rPr>
        <w:t xml:space="preserve">Site Internet : </w:t>
      </w:r>
      <w:hyperlink r:id="rId20" w:history="1">
        <w:r w:rsidRPr="002F60E8">
          <w:rPr>
            <w:rStyle w:val="Lienhypertexte"/>
            <w:snapToGrid/>
            <w:lang w:val="fr-FR"/>
          </w:rPr>
          <w:t>www.ssq.ca</w:t>
        </w:r>
      </w:hyperlink>
    </w:p>
    <w:p w14:paraId="269B0C60" w14:textId="77777777" w:rsidR="009C6632" w:rsidRDefault="009C6632" w:rsidP="00184632">
      <w:pPr>
        <w:spacing w:line="270" w:lineRule="atLeast"/>
        <w:jc w:val="left"/>
        <w:rPr>
          <w:rStyle w:val="Lienhypertexte"/>
          <w:rFonts w:asciiTheme="minorHAnsi" w:hAnsiTheme="minorHAnsi"/>
          <w:snapToGrid/>
          <w:lang w:val="fr-FR"/>
        </w:rPr>
      </w:pPr>
    </w:p>
    <w:p w14:paraId="25367700" w14:textId="77777777" w:rsidR="009C6632" w:rsidRDefault="009C6632" w:rsidP="00184632">
      <w:pPr>
        <w:spacing w:line="270" w:lineRule="atLeast"/>
        <w:jc w:val="left"/>
        <w:rPr>
          <w:rStyle w:val="Lienhypertexte"/>
          <w:rFonts w:asciiTheme="minorHAnsi" w:hAnsiTheme="minorHAnsi"/>
          <w:snapToGrid/>
          <w:lang w:val="fr-FR"/>
        </w:rPr>
      </w:pPr>
    </w:p>
    <w:p w14:paraId="357FF05A" w14:textId="77777777" w:rsidR="009C6632" w:rsidRDefault="009C6632" w:rsidP="00184632">
      <w:pPr>
        <w:spacing w:line="270" w:lineRule="atLeast"/>
        <w:jc w:val="left"/>
        <w:rPr>
          <w:rFonts w:asciiTheme="minorHAnsi" w:hAnsiTheme="minorHAnsi"/>
          <w:snapToGrid/>
          <w:color w:val="2E2E2E"/>
          <w:lang w:val="fr-FR"/>
        </w:rPr>
      </w:pPr>
    </w:p>
    <w:p w14:paraId="08346CC3" w14:textId="77777777" w:rsidR="00BB2E66" w:rsidRDefault="00BB2E66" w:rsidP="00184632">
      <w:pPr>
        <w:spacing w:line="270" w:lineRule="atLeast"/>
        <w:rPr>
          <w:rFonts w:asciiTheme="minorHAnsi" w:hAnsiTheme="minorHAnsi"/>
          <w:snapToGrid/>
          <w:color w:val="2E2E2E"/>
          <w:lang w:val="fr-FR"/>
        </w:rPr>
      </w:pPr>
    </w:p>
    <w:p w14:paraId="5E3D33EE" w14:textId="77777777" w:rsidR="009C6632" w:rsidRDefault="009C6632" w:rsidP="00184632">
      <w:pPr>
        <w:spacing w:line="270" w:lineRule="atLeast"/>
        <w:rPr>
          <w:rFonts w:asciiTheme="minorHAnsi" w:hAnsiTheme="minorHAnsi"/>
          <w:snapToGrid/>
          <w:color w:val="2E2E2E"/>
          <w:lang w:val="fr-FR"/>
        </w:rPr>
      </w:pPr>
    </w:p>
    <w:p w14:paraId="6CFE090D" w14:textId="77777777" w:rsidR="009C6632" w:rsidRDefault="009C6632" w:rsidP="00184632">
      <w:pPr>
        <w:spacing w:line="270" w:lineRule="atLeast"/>
        <w:rPr>
          <w:rFonts w:asciiTheme="minorHAnsi" w:hAnsiTheme="minorHAnsi"/>
          <w:snapToGrid/>
          <w:color w:val="2E2E2E"/>
          <w:lang w:val="fr-FR"/>
        </w:rPr>
      </w:pPr>
    </w:p>
    <w:p w14:paraId="68AE1E86" w14:textId="77777777" w:rsidR="002F60E8" w:rsidRDefault="002F60E8" w:rsidP="00184632">
      <w:pPr>
        <w:spacing w:line="270" w:lineRule="atLeast"/>
        <w:rPr>
          <w:rFonts w:asciiTheme="minorHAnsi" w:hAnsiTheme="minorHAnsi"/>
          <w:snapToGrid/>
          <w:color w:val="2E2E2E"/>
          <w:lang w:val="fr-FR"/>
        </w:rPr>
      </w:pPr>
    </w:p>
    <w:p w14:paraId="7AD5DC9C" w14:textId="77777777" w:rsidR="002F60E8" w:rsidRDefault="002F60E8" w:rsidP="00184632">
      <w:pPr>
        <w:spacing w:line="270" w:lineRule="atLeast"/>
        <w:rPr>
          <w:rFonts w:asciiTheme="minorHAnsi" w:hAnsiTheme="minorHAnsi"/>
          <w:snapToGrid/>
          <w:color w:val="2E2E2E"/>
          <w:lang w:val="fr-FR"/>
        </w:rPr>
      </w:pPr>
    </w:p>
    <w:p w14:paraId="797D3605" w14:textId="77777777" w:rsidR="002F60E8" w:rsidRDefault="002F60E8" w:rsidP="00184632">
      <w:pPr>
        <w:spacing w:line="270" w:lineRule="atLeast"/>
        <w:rPr>
          <w:rFonts w:asciiTheme="minorHAnsi" w:hAnsiTheme="minorHAnsi"/>
          <w:snapToGrid/>
          <w:color w:val="2E2E2E"/>
          <w:lang w:val="fr-FR"/>
        </w:rPr>
      </w:pPr>
    </w:p>
    <w:p w14:paraId="538E467E" w14:textId="77777777" w:rsidR="002F60E8" w:rsidRDefault="002F60E8" w:rsidP="00184632">
      <w:pPr>
        <w:spacing w:line="270" w:lineRule="atLeast"/>
        <w:rPr>
          <w:rFonts w:asciiTheme="minorHAnsi" w:hAnsiTheme="minorHAnsi"/>
          <w:snapToGrid/>
          <w:color w:val="2E2E2E"/>
          <w:lang w:val="fr-FR"/>
        </w:rPr>
      </w:pPr>
    </w:p>
    <w:p w14:paraId="1433202D" w14:textId="77777777" w:rsidR="002F60E8" w:rsidRDefault="002F60E8" w:rsidP="00184632">
      <w:pPr>
        <w:spacing w:line="270" w:lineRule="atLeast"/>
        <w:rPr>
          <w:rFonts w:asciiTheme="minorHAnsi" w:hAnsiTheme="minorHAnsi"/>
          <w:snapToGrid/>
          <w:color w:val="2E2E2E"/>
          <w:lang w:val="fr-FR"/>
        </w:rPr>
      </w:pPr>
    </w:p>
    <w:p w14:paraId="08660E01" w14:textId="77777777" w:rsidR="002F60E8" w:rsidRDefault="002F60E8" w:rsidP="00184632">
      <w:pPr>
        <w:spacing w:line="270" w:lineRule="atLeast"/>
        <w:rPr>
          <w:rFonts w:asciiTheme="minorHAnsi" w:hAnsiTheme="minorHAnsi"/>
          <w:snapToGrid/>
          <w:color w:val="2E2E2E"/>
          <w:lang w:val="fr-FR"/>
        </w:rPr>
      </w:pPr>
    </w:p>
    <w:p w14:paraId="4E3403EB" w14:textId="77777777" w:rsidR="00BB2E66" w:rsidRPr="002F60E8" w:rsidRDefault="00BB2E66" w:rsidP="00184632">
      <w:pPr>
        <w:rPr>
          <w:b/>
          <w:color w:val="000000" w:themeColor="text1"/>
        </w:rPr>
      </w:pPr>
      <w:bookmarkStart w:id="0" w:name="_GoBack"/>
      <w:bookmarkEnd w:id="0"/>
      <w:r w:rsidRPr="002F60E8">
        <w:rPr>
          <w:b/>
          <w:color w:val="000000" w:themeColor="text1"/>
        </w:rPr>
        <w:t>Veuillez noter que ce document est distribué à titre de renseignement seulement et ne remplace pas les dispositions prévues au contrat d’assurance collective ASSUREQ.  Il est fortement conseillé de communiquer avec l’AREQ ou avec SSQ pour toutes questions relatives au décès d’un membre ASSUREQ avant de prendre une décision.</w:t>
      </w:r>
    </w:p>
    <w:sectPr w:rsidR="00BB2E66" w:rsidRPr="002F60E8" w:rsidSect="000875DC">
      <w:footerReference w:type="first" r:id="rId21"/>
      <w:pgSz w:w="12240" w:h="15840" w:code="1"/>
      <w:pgMar w:top="1440" w:right="1440" w:bottom="1260" w:left="1440" w:header="706" w:footer="7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92811" w14:textId="77777777" w:rsidR="002B36CF" w:rsidRDefault="002B36CF" w:rsidP="002B36CF">
      <w:r>
        <w:separator/>
      </w:r>
    </w:p>
  </w:endnote>
  <w:endnote w:type="continuationSeparator" w:id="0">
    <w:p w14:paraId="0E3E2375" w14:textId="77777777" w:rsidR="002B36CF" w:rsidRDefault="002B36CF" w:rsidP="002B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9928A" w14:textId="77777777" w:rsidR="007675B3" w:rsidRDefault="007675B3" w:rsidP="007675B3">
    <w:pPr>
      <w:pStyle w:val="Pieddepage"/>
    </w:pPr>
    <w:r w:rsidRPr="002B36CF">
      <w:rPr>
        <w:sz w:val="18"/>
        <w:szCs w:val="18"/>
      </w:rPr>
      <w:t>Février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238B" w14:textId="77777777" w:rsidR="002B36CF" w:rsidRDefault="002B36CF">
    <w:pPr>
      <w:pStyle w:val="Pieddepage"/>
    </w:pPr>
    <w:r w:rsidRPr="002B36CF">
      <w:rPr>
        <w:sz w:val="18"/>
        <w:szCs w:val="18"/>
      </w:rPr>
      <w:t>Février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2EDF9" w14:textId="77777777" w:rsidR="002B36CF" w:rsidRDefault="002B36CF" w:rsidP="002B36CF">
      <w:r>
        <w:separator/>
      </w:r>
    </w:p>
  </w:footnote>
  <w:footnote w:type="continuationSeparator" w:id="0">
    <w:p w14:paraId="3A1F3A6F" w14:textId="77777777" w:rsidR="002B36CF" w:rsidRDefault="002B36CF" w:rsidP="002B3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6B0E"/>
    <w:multiLevelType w:val="hybridMultilevel"/>
    <w:tmpl w:val="11B4838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5031FCD"/>
    <w:multiLevelType w:val="hybridMultilevel"/>
    <w:tmpl w:val="05329158"/>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37057AC5"/>
    <w:multiLevelType w:val="hybridMultilevel"/>
    <w:tmpl w:val="5EB6099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46A54A4"/>
    <w:multiLevelType w:val="hybridMultilevel"/>
    <w:tmpl w:val="CA92F68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7292AE2"/>
    <w:multiLevelType w:val="hybridMultilevel"/>
    <w:tmpl w:val="37D8E22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578F4A43"/>
    <w:multiLevelType w:val="hybridMultilevel"/>
    <w:tmpl w:val="7A70A2A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599B6594"/>
    <w:multiLevelType w:val="hybridMultilevel"/>
    <w:tmpl w:val="5788749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6C537074"/>
    <w:multiLevelType w:val="hybridMultilevel"/>
    <w:tmpl w:val="5C44256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C021A27"/>
    <w:multiLevelType w:val="hybridMultilevel"/>
    <w:tmpl w:val="1C48802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2"/>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A3"/>
    <w:rsid w:val="000875DC"/>
    <w:rsid w:val="000D38D7"/>
    <w:rsid w:val="001032CC"/>
    <w:rsid w:val="001372FC"/>
    <w:rsid w:val="00157A02"/>
    <w:rsid w:val="00184632"/>
    <w:rsid w:val="001C0F76"/>
    <w:rsid w:val="00204B20"/>
    <w:rsid w:val="002625F6"/>
    <w:rsid w:val="00263F98"/>
    <w:rsid w:val="002B36CF"/>
    <w:rsid w:val="002D4170"/>
    <w:rsid w:val="002F60E8"/>
    <w:rsid w:val="003A697F"/>
    <w:rsid w:val="003B14C1"/>
    <w:rsid w:val="003B5C81"/>
    <w:rsid w:val="003E57A3"/>
    <w:rsid w:val="00400E02"/>
    <w:rsid w:val="0041393D"/>
    <w:rsid w:val="00442A55"/>
    <w:rsid w:val="004706D1"/>
    <w:rsid w:val="00507192"/>
    <w:rsid w:val="00564D45"/>
    <w:rsid w:val="00577239"/>
    <w:rsid w:val="005C26F8"/>
    <w:rsid w:val="005F3E61"/>
    <w:rsid w:val="00685171"/>
    <w:rsid w:val="006A3A8D"/>
    <w:rsid w:val="007675B3"/>
    <w:rsid w:val="00781403"/>
    <w:rsid w:val="00786FAE"/>
    <w:rsid w:val="007F5696"/>
    <w:rsid w:val="0083378E"/>
    <w:rsid w:val="00990EE1"/>
    <w:rsid w:val="009C6632"/>
    <w:rsid w:val="009D3FE3"/>
    <w:rsid w:val="00A53324"/>
    <w:rsid w:val="00A7041A"/>
    <w:rsid w:val="00AF70EB"/>
    <w:rsid w:val="00B66D70"/>
    <w:rsid w:val="00BB2E66"/>
    <w:rsid w:val="00C11F1F"/>
    <w:rsid w:val="00C2123B"/>
    <w:rsid w:val="00C66739"/>
    <w:rsid w:val="00C962D3"/>
    <w:rsid w:val="00CB7EDE"/>
    <w:rsid w:val="00CC2B32"/>
    <w:rsid w:val="00E35682"/>
    <w:rsid w:val="00E62E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F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napToGrid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tabs>
        <w:tab w:val="center" w:pos="4680"/>
      </w:tabs>
    </w:pPr>
    <w:rPr>
      <w:spacing w:val="-3"/>
      <w:sz w:val="20"/>
      <w:szCs w:val="20"/>
      <w:lang w:eastAsia="fr-FR"/>
    </w:rPr>
  </w:style>
  <w:style w:type="paragraph" w:styleId="Textedebulles">
    <w:name w:val="Balloon Text"/>
    <w:basedOn w:val="Normal"/>
    <w:link w:val="TextedebullesCar"/>
    <w:rsid w:val="00786FAE"/>
    <w:rPr>
      <w:rFonts w:ascii="Tahoma" w:hAnsi="Tahoma" w:cs="Tahoma"/>
      <w:sz w:val="16"/>
      <w:szCs w:val="16"/>
    </w:rPr>
  </w:style>
  <w:style w:type="character" w:customStyle="1" w:styleId="TextedebullesCar">
    <w:name w:val="Texte de bulles Car"/>
    <w:basedOn w:val="Policepardfaut"/>
    <w:link w:val="Textedebulles"/>
    <w:rsid w:val="00786FAE"/>
    <w:rPr>
      <w:rFonts w:ascii="Tahoma" w:hAnsi="Tahoma" w:cs="Tahoma"/>
      <w:snapToGrid w:val="0"/>
      <w:sz w:val="16"/>
      <w:szCs w:val="16"/>
    </w:rPr>
  </w:style>
  <w:style w:type="paragraph" w:styleId="Paragraphedeliste">
    <w:name w:val="List Paragraph"/>
    <w:basedOn w:val="Normal"/>
    <w:uiPriority w:val="34"/>
    <w:qFormat/>
    <w:rsid w:val="005F3E61"/>
    <w:pPr>
      <w:ind w:left="720"/>
      <w:contextualSpacing/>
    </w:pPr>
  </w:style>
  <w:style w:type="character" w:styleId="Lienhypertexte">
    <w:name w:val="Hyperlink"/>
    <w:basedOn w:val="Policepardfaut"/>
    <w:rsid w:val="00BB2E66"/>
    <w:rPr>
      <w:color w:val="0000FF" w:themeColor="hyperlink"/>
      <w:u w:val="single"/>
    </w:rPr>
  </w:style>
  <w:style w:type="table" w:styleId="Grilledutableau">
    <w:name w:val="Table Grid"/>
    <w:basedOn w:val="TableauNormal"/>
    <w:rsid w:val="001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2B36CF"/>
    <w:pPr>
      <w:tabs>
        <w:tab w:val="center" w:pos="4320"/>
        <w:tab w:val="right" w:pos="8640"/>
      </w:tabs>
    </w:pPr>
  </w:style>
  <w:style w:type="character" w:customStyle="1" w:styleId="En-tteCar">
    <w:name w:val="En-tête Car"/>
    <w:basedOn w:val="Policepardfaut"/>
    <w:link w:val="En-tte"/>
    <w:rsid w:val="002B36CF"/>
    <w:rPr>
      <w:rFonts w:ascii="Arial" w:hAnsi="Arial" w:cs="Arial"/>
      <w:snapToGrid w:val="0"/>
      <w:sz w:val="24"/>
      <w:szCs w:val="24"/>
    </w:rPr>
  </w:style>
  <w:style w:type="paragraph" w:styleId="Pieddepage">
    <w:name w:val="footer"/>
    <w:basedOn w:val="Normal"/>
    <w:link w:val="PieddepageCar"/>
    <w:rsid w:val="002B36CF"/>
    <w:pPr>
      <w:tabs>
        <w:tab w:val="center" w:pos="4320"/>
        <w:tab w:val="right" w:pos="8640"/>
      </w:tabs>
    </w:pPr>
  </w:style>
  <w:style w:type="character" w:customStyle="1" w:styleId="PieddepageCar">
    <w:name w:val="Pied de page Car"/>
    <w:basedOn w:val="Policepardfaut"/>
    <w:link w:val="Pieddepage"/>
    <w:rsid w:val="002B36CF"/>
    <w:rPr>
      <w:rFonts w:ascii="Arial" w:hAnsi="Arial" w:cs="Arial"/>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napToGrid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tabs>
        <w:tab w:val="center" w:pos="4680"/>
      </w:tabs>
    </w:pPr>
    <w:rPr>
      <w:spacing w:val="-3"/>
      <w:sz w:val="20"/>
      <w:szCs w:val="20"/>
      <w:lang w:eastAsia="fr-FR"/>
    </w:rPr>
  </w:style>
  <w:style w:type="paragraph" w:styleId="Textedebulles">
    <w:name w:val="Balloon Text"/>
    <w:basedOn w:val="Normal"/>
    <w:link w:val="TextedebullesCar"/>
    <w:rsid w:val="00786FAE"/>
    <w:rPr>
      <w:rFonts w:ascii="Tahoma" w:hAnsi="Tahoma" w:cs="Tahoma"/>
      <w:sz w:val="16"/>
      <w:szCs w:val="16"/>
    </w:rPr>
  </w:style>
  <w:style w:type="character" w:customStyle="1" w:styleId="TextedebullesCar">
    <w:name w:val="Texte de bulles Car"/>
    <w:basedOn w:val="Policepardfaut"/>
    <w:link w:val="Textedebulles"/>
    <w:rsid w:val="00786FAE"/>
    <w:rPr>
      <w:rFonts w:ascii="Tahoma" w:hAnsi="Tahoma" w:cs="Tahoma"/>
      <w:snapToGrid w:val="0"/>
      <w:sz w:val="16"/>
      <w:szCs w:val="16"/>
    </w:rPr>
  </w:style>
  <w:style w:type="paragraph" w:styleId="Paragraphedeliste">
    <w:name w:val="List Paragraph"/>
    <w:basedOn w:val="Normal"/>
    <w:uiPriority w:val="34"/>
    <w:qFormat/>
    <w:rsid w:val="005F3E61"/>
    <w:pPr>
      <w:ind w:left="720"/>
      <w:contextualSpacing/>
    </w:pPr>
  </w:style>
  <w:style w:type="character" w:styleId="Lienhypertexte">
    <w:name w:val="Hyperlink"/>
    <w:basedOn w:val="Policepardfaut"/>
    <w:rsid w:val="00BB2E66"/>
    <w:rPr>
      <w:color w:val="0000FF" w:themeColor="hyperlink"/>
      <w:u w:val="single"/>
    </w:rPr>
  </w:style>
  <w:style w:type="table" w:styleId="Grilledutableau">
    <w:name w:val="Table Grid"/>
    <w:basedOn w:val="TableauNormal"/>
    <w:rsid w:val="001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2B36CF"/>
    <w:pPr>
      <w:tabs>
        <w:tab w:val="center" w:pos="4320"/>
        <w:tab w:val="right" w:pos="8640"/>
      </w:tabs>
    </w:pPr>
  </w:style>
  <w:style w:type="character" w:customStyle="1" w:styleId="En-tteCar">
    <w:name w:val="En-tête Car"/>
    <w:basedOn w:val="Policepardfaut"/>
    <w:link w:val="En-tte"/>
    <w:rsid w:val="002B36CF"/>
    <w:rPr>
      <w:rFonts w:ascii="Arial" w:hAnsi="Arial" w:cs="Arial"/>
      <w:snapToGrid w:val="0"/>
      <w:sz w:val="24"/>
      <w:szCs w:val="24"/>
    </w:rPr>
  </w:style>
  <w:style w:type="paragraph" w:styleId="Pieddepage">
    <w:name w:val="footer"/>
    <w:basedOn w:val="Normal"/>
    <w:link w:val="PieddepageCar"/>
    <w:rsid w:val="002B36CF"/>
    <w:pPr>
      <w:tabs>
        <w:tab w:val="center" w:pos="4320"/>
        <w:tab w:val="right" w:pos="8640"/>
      </w:tabs>
    </w:pPr>
  </w:style>
  <w:style w:type="character" w:customStyle="1" w:styleId="PieddepageCar">
    <w:name w:val="Pied de page Car"/>
    <w:basedOn w:val="Policepardfaut"/>
    <w:link w:val="Pieddepage"/>
    <w:rsid w:val="002B36CF"/>
    <w:rPr>
      <w:rFonts w:ascii="Arial" w:hAnsi="Arial"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ssq.ca" TargetMode="External"/><Relationship Id="rId2" Type="http://schemas.openxmlformats.org/officeDocument/2006/relationships/customXml" Target="../customXml/item2.xml"/><Relationship Id="rId16" Type="http://schemas.openxmlformats.org/officeDocument/2006/relationships/hyperlink" Target="http://www.areq.qc.net" TargetMode="External"/><Relationship Id="rId20" Type="http://schemas.openxmlformats.org/officeDocument/2006/relationships/hyperlink" Target="http://www.ssq.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www.areq.qc.ne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de_x0020_création_x0020_du_x0020_document xmlns="46c7fdbb-b130-4687-af6a-8c1b74df5fd4">2016-02-09T17:03:42+00:00</Date_x0020_de_x0020_création_x0020_du_x0020_document>
    <Cote xmlns="46c7fdbb-b130-4687-af6a-8c1b74df5fd4" xsi:nil="true"/>
    <_Publisher xmlns="http://schemas.microsoft.com/sharepoint/v3/fields" xsi:nil="true"/>
    <Actvt xmlns="46c7fdbb-b130-4687-af6a-8c1b74df5fd4">AREQ</Actvt>
    <f8587665e5c7469e96bfe242ded86e5d xmlns="46c7fdbb-b130-4687-af6a-8c1b74df5fd4">
      <Terms xmlns="http://schemas.microsoft.com/office/infopath/2007/PartnerControls"/>
    </f8587665e5c7469e96bfe242ded86e5d>
    <Contrb xmlns="46c7fdbb-b130-4687-af6a-8c1b74df5fd4">
      <UserInfo>
        <DisplayName>Johanne Freire</DisplayName>
        <AccountId>103</AccountId>
        <AccountType/>
      </UserInfo>
    </Contrb>
    <lb7118dd694e49a8a1432b69b9799bab xmlns="46c7fdbb-b130-4687-af6a-8c1b74df5fd4">
      <Terms xmlns="http://schemas.microsoft.com/office/infopath/2007/PartnerControls"/>
    </lb7118dd694e49a8a1432b69b9799bab>
    <TaxCatchAll xmlns="46c7fdbb-b130-4687-af6a-8c1b74df5fd4"/>
    <AuteurPatrimonial xmlns="46c7fdbb-b130-4687-af6a-8c1b74df5fd4" xsi:nil="true"/>
    <WorkAddress xmlns="http://schemas.microsoft.com/sharepoint/v3" xsi:nil="true"/>
    <Poste xmlns="46c7fdbb-b130-4687-af6a-8c1b74df5fd4">Assurances</Poste>
    <IdPatrimonial xmlns="46c7fdbb-b130-4687-af6a-8c1b74df5fd4" xsi:nil="true"/>
    <RoutingRuleDescription xmlns="http://schemas.microsoft.com/sharepoint/v3" xsi:nil="true"/>
    <Contact xmlns="46c7fdbb-b130-4687-af6a-8c1b74df5fd4" xsi:nil="true"/>
    <Projet xmlns="46c7fdbb-b130-4687-af6a-8c1b74df5fd4" xsi:nil="true"/>
    <i455f69a3de94733bb4a07473af4041d xmlns="46c7fdbb-b130-4687-af6a-8c1b74df5fd4">
      <Terms xmlns="http://schemas.microsoft.com/office/infopath/2007/PartnerControls"/>
    </i455f69a3de94733bb4a07473af4041d>
    <Attributs_x0020_FSE xmlns="46c7fdbb-b130-4687-af6a-8c1b74df5fd4"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37727bac-288a-4e8c-ac3f-72706e8b9e8b" ContentTypeId="0x01010096986FF6C675CF41BDDEEA08E8F60B7D7B" PreviousValue="false"/>
</file>

<file path=customXml/item4.xml><?xml version="1.0" encoding="utf-8"?>
<ct:contentTypeSchema xmlns:ct="http://schemas.microsoft.com/office/2006/metadata/contentType" xmlns:ma="http://schemas.microsoft.com/office/2006/metadata/properties/metaAttributes" ct:_="" ma:_="" ma:contentTypeName="Correspondance" ma:contentTypeID="0x01010096986FF6C675CF41BDDEEA08E8F60B7D7B003C491B4F00A0F34CACCEB83BB047B2A5" ma:contentTypeVersion="20" ma:contentTypeDescription="" ma:contentTypeScope="" ma:versionID="3387df99d0c111f92c1b018cb5da5b95">
  <xsd:schema xmlns:xsd="http://www.w3.org/2001/XMLSchema" xmlns:xs="http://www.w3.org/2001/XMLSchema" xmlns:p="http://schemas.microsoft.com/office/2006/metadata/properties" xmlns:ns1="http://schemas.microsoft.com/sharepoint/v3" xmlns:ns2="46c7fdbb-b130-4687-af6a-8c1b74df5fd4" xmlns:ns3="http://schemas.microsoft.com/sharepoint/v3/fields" targetNamespace="http://schemas.microsoft.com/office/2006/metadata/properties" ma:root="true" ma:fieldsID="cb12d8038a1a0ac80135e021a7d592a8" ns1:_="" ns2:_="" ns3:_="">
    <xsd:import namespace="http://schemas.microsoft.com/sharepoint/v3"/>
    <xsd:import namespace="46c7fdbb-b130-4687-af6a-8c1b74df5fd4"/>
    <xsd:import namespace="http://schemas.microsoft.com/sharepoint/v3/fields"/>
    <xsd:element name="properties">
      <xsd:complexType>
        <xsd:sequence>
          <xsd:element name="documentManagement">
            <xsd:complexType>
              <xsd:all>
                <xsd:element ref="ns1:RoutingRuleDescription" minOccurs="0"/>
                <xsd:element ref="ns2:f8587665e5c7469e96bfe242ded86e5d" minOccurs="0"/>
                <xsd:element ref="ns2:TaxCatchAll" minOccurs="0"/>
                <xsd:element ref="ns2:TaxCatchAllLabel" minOccurs="0"/>
                <xsd:element ref="ns3:_Publisher" minOccurs="0"/>
                <xsd:element ref="ns2:Contrb" minOccurs="0"/>
                <xsd:element ref="ns2:lb7118dd694e49a8a1432b69b9799bab" minOccurs="0"/>
                <xsd:element ref="ns2:i455f69a3de94733bb4a07473af4041d" minOccurs="0"/>
                <xsd:element ref="ns2:Actvt" minOccurs="0"/>
                <xsd:element ref="ns2:Cote" minOccurs="0"/>
                <xsd:element ref="ns2:Poste" minOccurs="0"/>
                <xsd:element ref="ns2:Projet" minOccurs="0"/>
                <xsd:element ref="ns2:IdPatrimonial" minOccurs="0"/>
                <xsd:element ref="ns2:AuteurPatrimonial" minOccurs="0"/>
                <xsd:element ref="ns2:Date_x0020_de_x0020_création_x0020_du_x0020_document" minOccurs="0"/>
                <xsd:element ref="ns2:Contact" minOccurs="0"/>
                <xsd:element ref="ns1:WorkAddress" minOccurs="0"/>
                <xsd:element ref="ns2:Attributs_x0020_F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element name="WorkAddress" ma:index="29" nillable="true" ma:displayName="Adresse" ma:internalName="WorkAddres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7fdbb-b130-4687-af6a-8c1b74df5fd4" elementFormDefault="qualified">
    <xsd:import namespace="http://schemas.microsoft.com/office/2006/documentManagement/types"/>
    <xsd:import namespace="http://schemas.microsoft.com/office/infopath/2007/PartnerControls"/>
    <xsd:element name="f8587665e5c7469e96bfe242ded86e5d" ma:index="10" nillable="true" ma:taxonomy="true" ma:internalName="f8587665e5c7469e96bfe242ded86e5d" ma:taxonomyFieldName="MotCle" ma:displayName="Mots clés CSQ" ma:readOnly="false" ma:default="" ma:fieldId="{f8587665-e5c7-469e-96bf-e242ded86e5d}" ma:taxonomyMulti="true" ma:sspId="37727bac-288a-4e8c-ac3f-72706e8b9e8b" ma:termSetId="5d493032-9652-4df6-a656-cb0f1776af4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9f0d34fe-9995-4ea3-91d2-eebbd3baf287}" ma:internalName="TaxCatchAll" ma:showField="CatchAllData" ma:web="fa1c7889-63ad-4c97-9f88-b092098a17c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f0d34fe-9995-4ea3-91d2-eebbd3baf287}" ma:internalName="TaxCatchAllLabel" ma:readOnly="true" ma:showField="CatchAllDataLabel" ma:web="fa1c7889-63ad-4c97-9f88-b092098a17c7">
      <xsd:complexType>
        <xsd:complexContent>
          <xsd:extension base="dms:MultiChoiceLookup">
            <xsd:sequence>
              <xsd:element name="Value" type="dms:Lookup" maxOccurs="unbounded" minOccurs="0" nillable="true"/>
            </xsd:sequence>
          </xsd:extension>
        </xsd:complexContent>
      </xsd:complexType>
    </xsd:element>
    <xsd:element name="Contrb" ma:index="15" nillable="true" ma:displayName="Contributeur" ma:list="UserInfo" ma:SharePointGroup="0" ma:internalName="Contrb"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b7118dd694e49a8a1432b69b9799bab" ma:index="16" nillable="true" ma:taxonomy="true" ma:internalName="lb7118dd694e49a8a1432b69b9799bab" ma:taxonomyFieldName="SrcDocmn" ma:displayName="Source du document" ma:readOnly="false" ma:default="" ma:fieldId="{5b7118dd-694e-49a8-a143-2b69b9799bab}" ma:sspId="37727bac-288a-4e8c-ac3f-72706e8b9e8b" ma:termSetId="8cf0df15-b8da-47d3-9589-1ec439dfa861" ma:anchorId="00000000-0000-0000-0000-000000000000" ma:open="false" ma:isKeyword="false">
      <xsd:complexType>
        <xsd:sequence>
          <xsd:element ref="pc:Terms" minOccurs="0" maxOccurs="1"/>
        </xsd:sequence>
      </xsd:complexType>
    </xsd:element>
    <xsd:element name="i455f69a3de94733bb4a07473af4041d" ma:index="18" nillable="true" ma:taxonomy="true" ma:internalName="i455f69a3de94733bb4a07473af4041d" ma:taxonomyFieldName="CodeClass" ma:displayName="Code de classification" ma:indexed="true" ma:readOnly="false" ma:default="" ma:fieldId="{2455f69a-3de9-4733-bb4a-07473af4041d}" ma:sspId="37727bac-288a-4e8c-ac3f-72706e8b9e8b" ma:termSetId="38c1e8e0-9623-4f36-b880-eac9f3d93b07" ma:anchorId="00000000-0000-0000-0000-000000000000" ma:open="false" ma:isKeyword="false">
      <xsd:complexType>
        <xsd:sequence>
          <xsd:element ref="pc:Terms" minOccurs="0" maxOccurs="1"/>
        </xsd:sequence>
      </xsd:complexType>
    </xsd:element>
    <xsd:element name="Actvt" ma:index="20" nillable="true" ma:displayName="Activité" ma:internalName="Actvt" ma:readOnly="false">
      <xsd:simpleType>
        <xsd:restriction base="dms:Text">
          <xsd:maxLength value="255"/>
        </xsd:restriction>
      </xsd:simpleType>
    </xsd:element>
    <xsd:element name="Cote" ma:index="21" nillable="true" ma:displayName="Cote" ma:internalName="Cote">
      <xsd:simpleType>
        <xsd:restriction base="dms:Text">
          <xsd:maxLength value="100"/>
        </xsd:restriction>
      </xsd:simpleType>
    </xsd:element>
    <xsd:element name="Poste" ma:index="22" nillable="true" ma:displayName="Poste" ma:internalName="Poste">
      <xsd:simpleType>
        <xsd:restriction base="dms:Text">
          <xsd:maxLength value="255"/>
        </xsd:restriction>
      </xsd:simpleType>
    </xsd:element>
    <xsd:element name="Projet" ma:index="23" nillable="true" ma:displayName="Projet" ma:internalName="Projet">
      <xsd:simpleType>
        <xsd:restriction base="dms:Text">
          <xsd:maxLength value="255"/>
        </xsd:restriction>
      </xsd:simpleType>
    </xsd:element>
    <xsd:element name="IdPatrimonial" ma:index="24" nillable="true" ma:displayName="IdPatrimonial" ma:internalName="IdPatrimonial">
      <xsd:simpleType>
        <xsd:restriction base="dms:Number"/>
      </xsd:simpleType>
    </xsd:element>
    <xsd:element name="AuteurPatrimonial" ma:index="25" nillable="true" ma:displayName="AuteurPatrimonial" ma:internalName="AuteurPatrimonial">
      <xsd:simpleType>
        <xsd:restriction base="dms:Text">
          <xsd:maxLength value="255"/>
        </xsd:restriction>
      </xsd:simpleType>
    </xsd:element>
    <xsd:element name="Date_x0020_de_x0020_création_x0020_du_x0020_document" ma:index="26" nillable="true" ma:displayName="Création du document" ma:default="[today]" ma:description="Date de création du document gérée par la Centrale" ma:format="DateOnly" ma:internalName="Date_x0020_de_x0020_cr_x00e9_ation_x0020_du_x0020_document" ma:readOnly="false">
      <xsd:simpleType>
        <xsd:restriction base="dms:DateTime"/>
      </xsd:simpleType>
    </xsd:element>
    <xsd:element name="Contact" ma:index="28" nillable="true" ma:displayName="Contact" ma:description="Personne contact" ma:internalName="Contact">
      <xsd:simpleType>
        <xsd:restriction base="dms:Text">
          <xsd:maxLength value="255"/>
        </xsd:restriction>
      </xsd:simpleType>
    </xsd:element>
    <xsd:element name="Attributs_x0020_FSE" ma:index="30" nillable="true" ma:displayName="Attributs FSE" ma:format="Dropdown" ma:internalName="Attributs_x0020_FSE">
      <xsd:simpleType>
        <xsd:restriction base="dms:Choice">
          <xsd:enumeration value="VPP-Réseau EDA"/>
          <xsd:enumeration value="VPP-Réseau FP"/>
          <xsd:enumeration value="RLT-CIAC"/>
          <xsd:enumeration value="RLT-Réseau des applicateurs"/>
          <xsd:enumeration value="RLT-Réseau spécial"/>
          <xsd:enumeration value="RLT-Réseau des nouveaux"/>
          <xsd:enumeration value="RLT-Formations"/>
          <xsd:enumeration value="RLT-Autr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4" nillable="true" ma:displayName="Éditeur" ma:description="Personne, organisation ou service qui a publié la ressource" ma:internalName="_Publish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ma:index="9"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InscrireMetaDonneesAjouter</Name>
    <Synchronization>Synchronous</Synchronization>
    <Type>10001</Type>
    <SequenceNumber>11001</SequenceNumber>
    <Url/>
    <Assembly>CSQ.SHP.COL.InscrireMetaDonnees.r0, Version=1.0.0.0, Culture=neutral, PublicKeyToken=60de04f8469a0fce</Assembly>
    <Class>CSQ.SHP.COL.InscrireMetaDonnees.r0.Classe.RecepteurEvenementInscrireMetaDonnees</Class>
    <Data/>
    <Filter/>
  </Receiver>
  <Receiver>
    <Name>InscrireMetaDonneesModifier</Name>
    <Synchronization>Synchronous</Synchronization>
    <Type>10002</Type>
    <SequenceNumber>11002</SequenceNumber>
    <Url/>
    <Assembly>CSQ.SHP.COL.InscrireMetaDonnees.r0, Version=1.0.0.0, Culture=neutral, PublicKeyToken=60de04f8469a0fce</Assembly>
    <Class>CSQ.SHP.COL.InscrireMetaDonnees.r0.Classe.RecepteurEvenementInscrireMetaDonnees</Class>
    <Data/>
    <Filter/>
  </Receiver>
  <Receiver>
    <Name>InscrireMetaDonneesArchiver</Name>
    <Synchronization>Synchronous</Synchronization>
    <Type>10004</Type>
    <SequenceNumber>11002</SequenceNumber>
    <Url/>
    <Assembly>CSQ.SHP.COL.InscrireMetaDonnees.r0, Version=1.0.0.0, Culture=neutral, PublicKeyToken=60de04f8469a0fce</Assembly>
    <Class>CSQ.SHP.COL.InscrireMetaDonnees.r0.Classe.RecepteurEvenementInscrireMetaDonnees</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5320-4BF3-4D5A-923D-CFC11DB12B71}"/>
</file>

<file path=customXml/itemProps2.xml><?xml version="1.0" encoding="utf-8"?>
<ds:datastoreItem xmlns:ds="http://schemas.openxmlformats.org/officeDocument/2006/customXml" ds:itemID="{5ED8A08E-4955-4778-98EB-4F5C2AF47097}"/>
</file>

<file path=customXml/itemProps3.xml><?xml version="1.0" encoding="utf-8"?>
<ds:datastoreItem xmlns:ds="http://schemas.openxmlformats.org/officeDocument/2006/customXml" ds:itemID="{94CC8E84-6FA4-44D4-AB21-B4956E07ABDA}"/>
</file>

<file path=customXml/itemProps4.xml><?xml version="1.0" encoding="utf-8"?>
<ds:datastoreItem xmlns:ds="http://schemas.openxmlformats.org/officeDocument/2006/customXml" ds:itemID="{B3E0D009-19E3-4984-86F7-D21BDEDDE505}"/>
</file>

<file path=customXml/itemProps5.xml><?xml version="1.0" encoding="utf-8"?>
<ds:datastoreItem xmlns:ds="http://schemas.openxmlformats.org/officeDocument/2006/customXml" ds:itemID="{1E2C67C7-91D8-4910-8319-BFAF9D601F00}"/>
</file>

<file path=customXml/itemProps6.xml><?xml version="1.0" encoding="utf-8"?>
<ds:datastoreItem xmlns:ds="http://schemas.openxmlformats.org/officeDocument/2006/customXml" ds:itemID="{7D21BD42-39B4-4AA3-947B-84F9A5BB9ED5}"/>
</file>

<file path=customXml/itemProps7.xml><?xml version="1.0" encoding="utf-8"?>
<ds:datastoreItem xmlns:ds="http://schemas.openxmlformats.org/officeDocument/2006/customXml" ds:itemID="{F62329C6-A8BA-44E7-B5D7-3800542742C3}"/>
</file>

<file path=docProps/app.xml><?xml version="1.0" encoding="utf-8"?>
<Properties xmlns="http://schemas.openxmlformats.org/officeDocument/2006/extended-properties" xmlns:vt="http://schemas.openxmlformats.org/officeDocument/2006/docPropsVTypes">
  <Template>Normal</Template>
  <TotalTime>31</TotalTime>
  <Pages>4</Pages>
  <Words>1022</Words>
  <Characters>5640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Que faire en cas de décès</vt:lpstr>
    </vt:vector>
  </TitlesOfParts>
  <Company>CSQ</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faire en cas de décès</dc:title>
  <dc:creator>Utilisateur CSQ</dc:creator>
  <cp:lastModifiedBy>Utilisateur CSQ</cp:lastModifiedBy>
  <cp:revision>6</cp:revision>
  <cp:lastPrinted>2016-02-11T21:10:00Z</cp:lastPrinted>
  <dcterms:created xsi:type="dcterms:W3CDTF">2016-02-09T17:04:00Z</dcterms:created>
  <dcterms:modified xsi:type="dcterms:W3CDTF">2016-02-11T21:10:00Z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0x01010096986FF6C675CF41BDDEEA08E8F60B7D7B003C491B4F00A0F34CACCEB83BB047B2A5</vt:lpwstr>
  </property>
  <property fmtid="{D5CDD505-2E9C-101B-9397-08002B2CF9AE}" pid="3" name="SrcDocmn">
    <vt:lpwstr/>
  </property>
  <property fmtid="{D5CDD505-2E9C-101B-9397-08002B2CF9AE}" pid="4" name="MotCle">
    <vt:lpwstr/>
  </property>
  <property fmtid="{D5CDD505-2E9C-101B-9397-08002B2CF9AE}" pid="5" name="CodeClass">
    <vt:lpwstr>1</vt:lpwstr>
  </property>
</Properties>
</file>